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A8" w:rsidRDefault="00A717A8" w:rsidP="002C5A42">
      <w:pPr>
        <w:jc w:val="center"/>
        <w:rPr>
          <w:rFonts w:ascii="Sylfaen" w:hAnsi="Sylfaen" w:cs="Sylfaen"/>
          <w:b/>
          <w:bCs/>
          <w:sz w:val="28"/>
          <w:szCs w:val="28"/>
          <w:lang w:val="en-US"/>
        </w:rPr>
      </w:pPr>
      <w:r w:rsidRPr="00F1043A">
        <w:rPr>
          <w:rFonts w:ascii="Sylfaen" w:hAnsi="Sylfaen" w:cs="Sylfaen"/>
          <w:b/>
          <w:bCs/>
          <w:sz w:val="28"/>
          <w:szCs w:val="28"/>
          <w:lang w:val="en-US"/>
        </w:rPr>
        <w:t>Sokhumi State University</w:t>
      </w:r>
      <w:r w:rsidRPr="00F1043A">
        <w:rPr>
          <w:rFonts w:ascii="Sylfaen" w:hAnsi="Sylfaen" w:cs="Sylfaen"/>
          <w:b/>
          <w:bCs/>
          <w:sz w:val="28"/>
          <w:szCs w:val="28"/>
          <w:lang w:val="en-US"/>
        </w:rPr>
        <w:tab/>
      </w:r>
    </w:p>
    <w:p w:rsidR="00A717A8" w:rsidRPr="00F1043A" w:rsidRDefault="00A717A8" w:rsidP="002C5A42">
      <w:pPr>
        <w:jc w:val="center"/>
        <w:rPr>
          <w:rFonts w:ascii="Sylfaen" w:hAnsi="Sylfaen" w:cs="Sylfaen"/>
          <w:b/>
          <w:bCs/>
          <w:sz w:val="28"/>
          <w:szCs w:val="28"/>
          <w:lang w:val="en-US"/>
        </w:rPr>
      </w:pPr>
    </w:p>
    <w:p w:rsidR="00A717A8" w:rsidRPr="00F1043A" w:rsidRDefault="00A717A8" w:rsidP="002C5A42">
      <w:pPr>
        <w:jc w:val="center"/>
        <w:rPr>
          <w:rFonts w:ascii="Sylfaen" w:hAnsi="Sylfaen" w:cs="Sylfaen"/>
          <w:b/>
          <w:bCs/>
          <w:i/>
          <w:iCs/>
          <w:sz w:val="28"/>
          <w:szCs w:val="28"/>
          <w:lang w:val="en-US"/>
        </w:rPr>
      </w:pPr>
      <w:r w:rsidRPr="00F1043A">
        <w:rPr>
          <w:rFonts w:ascii="Sylfaen" w:hAnsi="Sylfaen" w:cs="Sylfaen"/>
          <w:b/>
          <w:bCs/>
          <w:i/>
          <w:iCs/>
          <w:sz w:val="28"/>
          <w:szCs w:val="28"/>
          <w:lang w:val="en-US"/>
        </w:rPr>
        <w:t>SYLLABUS</w:t>
      </w:r>
    </w:p>
    <w:p w:rsidR="00A717A8" w:rsidRPr="00F1043A" w:rsidRDefault="00A717A8" w:rsidP="002C5A42">
      <w:pPr>
        <w:jc w:val="center"/>
        <w:rPr>
          <w:rFonts w:ascii="Sylfaen" w:hAnsi="Sylfaen" w:cs="Sylfaen"/>
          <w:b/>
          <w:bCs/>
          <w:sz w:val="28"/>
          <w:szCs w:val="28"/>
          <w:lang w:val="en-US"/>
        </w:rPr>
      </w:pPr>
    </w:p>
    <w:tbl>
      <w:tblPr>
        <w:tblW w:w="99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660"/>
      </w:tblGrid>
      <w:tr w:rsidR="00A717A8" w:rsidRPr="00F1043A">
        <w:tc>
          <w:tcPr>
            <w:tcW w:w="3240" w:type="dxa"/>
          </w:tcPr>
          <w:p w:rsidR="00A717A8" w:rsidRPr="00576910" w:rsidRDefault="00A717A8" w:rsidP="00A92139">
            <w:pPr>
              <w:rPr>
                <w:rFonts w:ascii="AcadNusx" w:hAnsi="AcadNusx" w:cs="AcadNusx"/>
                <w:b/>
                <w:bCs/>
                <w:i/>
                <w:iCs/>
                <w:lang w:val="en-US"/>
              </w:rPr>
            </w:pPr>
            <w:r w:rsidRPr="00576910">
              <w:rPr>
                <w:rFonts w:ascii="Sylfaen" w:hAnsi="Sylfaen" w:cs="Sylfaen"/>
                <w:b/>
                <w:bCs/>
                <w:i/>
                <w:iCs/>
                <w:lang w:val="en-US"/>
              </w:rPr>
              <w:t>Name of the course</w:t>
            </w:r>
          </w:p>
        </w:tc>
        <w:tc>
          <w:tcPr>
            <w:tcW w:w="6660" w:type="dxa"/>
          </w:tcPr>
          <w:p w:rsidR="00A717A8" w:rsidRPr="00494918" w:rsidRDefault="00A717A8" w:rsidP="00A92139">
            <w:pPr>
              <w:jc w:val="center"/>
              <w:rPr>
                <w:rFonts w:ascii="Sylfaen" w:hAnsi="Sylfaen" w:cs="Sylfaen"/>
                <w:b/>
                <w:bCs/>
                <w:i/>
                <w:iCs/>
                <w:lang w:val="ka-GE"/>
              </w:rPr>
            </w:pPr>
            <w:r w:rsidRPr="00494918">
              <w:rPr>
                <w:rFonts w:ascii="Sylfaen" w:hAnsi="Sylfaen" w:cs="Sylfaen"/>
                <w:b/>
                <w:bCs/>
                <w:lang w:val="en-US"/>
              </w:rPr>
              <w:t>Project Management</w:t>
            </w:r>
          </w:p>
        </w:tc>
      </w:tr>
      <w:tr w:rsidR="00A717A8" w:rsidRPr="00415D16">
        <w:tc>
          <w:tcPr>
            <w:tcW w:w="3240" w:type="dxa"/>
          </w:tcPr>
          <w:p w:rsidR="00A717A8" w:rsidRPr="00576910" w:rsidRDefault="00A717A8" w:rsidP="00A92139">
            <w:pPr>
              <w:rPr>
                <w:rFonts w:ascii="AcadNusx" w:hAnsi="AcadNusx" w:cs="AcadNusx"/>
                <w:b/>
                <w:bCs/>
                <w:i/>
                <w:iCs/>
                <w:lang w:val="en-US"/>
              </w:rPr>
            </w:pPr>
            <w:r w:rsidRPr="00576910">
              <w:rPr>
                <w:rFonts w:ascii="Sylfaen" w:hAnsi="Sylfaen" w:cs="Sylfaen"/>
                <w:b/>
                <w:bCs/>
                <w:i/>
                <w:iCs/>
                <w:lang w:val="en-US"/>
              </w:rPr>
              <w:t>Status of the course</w:t>
            </w:r>
          </w:p>
        </w:tc>
        <w:tc>
          <w:tcPr>
            <w:tcW w:w="6660" w:type="dxa"/>
          </w:tcPr>
          <w:p w:rsidR="00A717A8" w:rsidRPr="00D63679" w:rsidRDefault="00A717A8" w:rsidP="00D63679">
            <w:pPr>
              <w:rPr>
                <w:rFonts w:ascii="Sylfaen" w:hAnsi="Sylfaen" w:cs="Sylfaen"/>
                <w:lang w:val="en-US"/>
              </w:rPr>
            </w:pPr>
            <w:r w:rsidRPr="00D63679">
              <w:rPr>
                <w:rFonts w:ascii="Sylfaen" w:hAnsi="Sylfaen" w:cs="Sylfaen"/>
                <w:lang w:val="en-US"/>
              </w:rPr>
              <w:t xml:space="preserve">Master programme </w:t>
            </w:r>
            <w:r w:rsidRPr="00D63679">
              <w:rPr>
                <w:rFonts w:ascii="Sylfaen" w:hAnsi="Sylfaen" w:cs="Sylfaen"/>
                <w:b/>
                <w:bCs/>
                <w:lang w:val="ka-GE"/>
              </w:rPr>
              <w:t xml:space="preserve"> </w:t>
            </w:r>
            <w:r w:rsidRPr="00D63679">
              <w:rPr>
                <w:rFonts w:ascii="Sylfaen" w:hAnsi="Sylfaen" w:cs="Sylfaen"/>
                <w:b/>
                <w:bCs/>
                <w:lang w:val="en-US"/>
              </w:rPr>
              <w:t>“Intercultural Communications”</w:t>
            </w:r>
            <w:r w:rsidRPr="00D63679">
              <w:rPr>
                <w:rFonts w:ascii="Sylfaen" w:hAnsi="Sylfaen" w:cs="Sylfaen"/>
                <w:b/>
                <w:bCs/>
                <w:lang w:val="ka-GE"/>
              </w:rPr>
              <w:t>;</w:t>
            </w:r>
            <w:r w:rsidRPr="00D63679">
              <w:rPr>
                <w:rFonts w:ascii="Sylfaen" w:hAnsi="Sylfaen" w:cs="Sylfaen"/>
                <w:lang w:val="en-US"/>
              </w:rPr>
              <w:t xml:space="preserve">  II semester, compulsory</w:t>
            </w:r>
          </w:p>
        </w:tc>
      </w:tr>
      <w:tr w:rsidR="00A717A8" w:rsidRPr="004C17CD">
        <w:tc>
          <w:tcPr>
            <w:tcW w:w="3240" w:type="dxa"/>
          </w:tcPr>
          <w:p w:rsidR="00A717A8" w:rsidRPr="00576910" w:rsidRDefault="00A717A8" w:rsidP="00A92139">
            <w:pPr>
              <w:rPr>
                <w:rFonts w:ascii="AcadNusx" w:hAnsi="AcadNusx" w:cs="AcadNusx"/>
                <w:b/>
                <w:bCs/>
                <w:i/>
                <w:iCs/>
                <w:lang w:val="en-US"/>
              </w:rPr>
            </w:pPr>
            <w:r w:rsidRPr="00576910">
              <w:rPr>
                <w:rFonts w:ascii="Sylfaen" w:hAnsi="Sylfaen" w:cs="Sylfaen"/>
                <w:b/>
                <w:bCs/>
                <w:i/>
                <w:iCs/>
                <w:lang w:val="en-US"/>
              </w:rPr>
              <w:t xml:space="preserve">ECTS </w:t>
            </w:r>
          </w:p>
        </w:tc>
        <w:tc>
          <w:tcPr>
            <w:tcW w:w="6660" w:type="dxa"/>
          </w:tcPr>
          <w:p w:rsidR="00A717A8" w:rsidRPr="00F1043A" w:rsidRDefault="00A717A8" w:rsidP="0021178F">
            <w:pPr>
              <w:jc w:val="both"/>
              <w:rPr>
                <w:rFonts w:ascii="LitNusx" w:hAnsi="LitNusx" w:cs="LitNusx"/>
                <w:sz w:val="28"/>
                <w:szCs w:val="28"/>
                <w:lang w:val="en-US"/>
              </w:rPr>
            </w:pPr>
            <w:r w:rsidRPr="00651DAC">
              <w:rPr>
                <w:rFonts w:ascii="Sylfaen" w:hAnsi="Sylfaen" w:cs="Sylfaen"/>
                <w:b/>
                <w:bCs/>
                <w:lang w:val="en-US"/>
              </w:rPr>
              <w:t>6 ECTS,</w:t>
            </w:r>
            <w:r>
              <w:rPr>
                <w:rFonts w:ascii="Sylfaen" w:hAnsi="Sylfaen" w:cs="Sylfaen"/>
                <w:lang w:val="en-US"/>
              </w:rPr>
              <w:t xml:space="preserve"> t</w:t>
            </w:r>
            <w:r w:rsidRPr="009A13B1">
              <w:rPr>
                <w:rFonts w:ascii="Sylfaen" w:hAnsi="Sylfaen" w:cs="Sylfaen"/>
                <w:lang w:val="en-US"/>
              </w:rPr>
              <w:t>otal – 150 h., 3 h. a week ( lectures – 30 h., group work – 15 h., midterm review – 2 h.</w:t>
            </w:r>
            <w:r>
              <w:rPr>
                <w:rFonts w:ascii="Sylfaen" w:hAnsi="Sylfaen" w:cs="Sylfaen"/>
                <w:lang w:val="en-US"/>
              </w:rPr>
              <w:t>, midterm exam – 1 h., final exam – 2</w:t>
            </w:r>
            <w:r w:rsidRPr="009A13B1">
              <w:rPr>
                <w:rFonts w:ascii="Sylfaen" w:hAnsi="Sylfaen" w:cs="Sylfaen"/>
                <w:lang w:val="en-US"/>
              </w:rPr>
              <w:t xml:space="preserve"> h.), total contact hours – 50 h., independent work – 100 h., that can be also divided into hours: searching different kind of information, article, book – 50 h., oral and written assignment – 25 h., preparation of midterm and final exam – 25 h.</w:t>
            </w:r>
          </w:p>
        </w:tc>
      </w:tr>
      <w:tr w:rsidR="00A717A8" w:rsidRPr="00816D2B">
        <w:tc>
          <w:tcPr>
            <w:tcW w:w="3240" w:type="dxa"/>
          </w:tcPr>
          <w:p w:rsidR="00A717A8" w:rsidRPr="00576910" w:rsidRDefault="00A717A8" w:rsidP="00A92139">
            <w:pPr>
              <w:rPr>
                <w:rFonts w:ascii="Sylfaen" w:hAnsi="Sylfaen" w:cs="Sylfaen"/>
                <w:b/>
                <w:bCs/>
                <w:i/>
                <w:iCs/>
                <w:lang w:val="en-US"/>
              </w:rPr>
            </w:pPr>
            <w:r w:rsidRPr="00576910">
              <w:rPr>
                <w:rFonts w:ascii="Sylfaen" w:hAnsi="Sylfaen" w:cs="Sylfaen"/>
                <w:b/>
                <w:bCs/>
                <w:i/>
                <w:iCs/>
                <w:lang w:val="en-US"/>
              </w:rPr>
              <w:t>Course identification/form</w:t>
            </w:r>
          </w:p>
          <w:p w:rsidR="00A717A8" w:rsidRPr="00576910" w:rsidRDefault="00A717A8" w:rsidP="00A92139">
            <w:pPr>
              <w:rPr>
                <w:rFonts w:ascii="AcadNusx" w:hAnsi="AcadNusx" w:cs="AcadNusx"/>
                <w:b/>
                <w:bCs/>
                <w:i/>
                <w:iCs/>
                <w:lang w:val="en-US"/>
              </w:rPr>
            </w:pPr>
          </w:p>
        </w:tc>
        <w:tc>
          <w:tcPr>
            <w:tcW w:w="6660" w:type="dxa"/>
          </w:tcPr>
          <w:p w:rsidR="00A717A8" w:rsidRPr="00D63679" w:rsidRDefault="00A717A8" w:rsidP="00A92139">
            <w:pPr>
              <w:jc w:val="both"/>
              <w:rPr>
                <w:rFonts w:ascii="Sylfaen" w:hAnsi="Sylfaen" w:cs="Sylfaen"/>
                <w:lang w:val="en-US"/>
              </w:rPr>
            </w:pPr>
            <w:r>
              <w:rPr>
                <w:rFonts w:ascii="Sylfaen" w:hAnsi="Sylfaen" w:cs="Sylfaen"/>
                <w:lang w:val="en-US"/>
              </w:rPr>
              <w:t>Lectures /seminars</w:t>
            </w:r>
          </w:p>
        </w:tc>
      </w:tr>
      <w:tr w:rsidR="00A717A8" w:rsidRPr="00816D2B">
        <w:tc>
          <w:tcPr>
            <w:tcW w:w="3240" w:type="dxa"/>
          </w:tcPr>
          <w:p w:rsidR="00A717A8" w:rsidRPr="0021178F" w:rsidRDefault="00A717A8" w:rsidP="00A92139">
            <w:pPr>
              <w:rPr>
                <w:rFonts w:ascii="Sylfaen" w:hAnsi="Sylfaen" w:cs="Sylfaen"/>
                <w:b/>
                <w:bCs/>
                <w:i/>
                <w:iCs/>
                <w:highlight w:val="yellow"/>
                <w:lang w:val="en-US"/>
              </w:rPr>
            </w:pPr>
            <w:r w:rsidRPr="004C17CD">
              <w:rPr>
                <w:rFonts w:ascii="Sylfaen" w:hAnsi="Sylfaen" w:cs="Sylfaen"/>
                <w:b/>
                <w:bCs/>
                <w:i/>
                <w:iCs/>
                <w:lang w:val="en-US"/>
              </w:rPr>
              <w:t>Lecturers</w:t>
            </w:r>
          </w:p>
        </w:tc>
        <w:tc>
          <w:tcPr>
            <w:tcW w:w="6660" w:type="dxa"/>
          </w:tcPr>
          <w:p w:rsidR="00A717A8" w:rsidRPr="004C17CD" w:rsidRDefault="00A717A8" w:rsidP="004C17CD">
            <w:pPr>
              <w:pStyle w:val="Default"/>
              <w:jc w:val="both"/>
              <w:rPr>
                <w:lang w:val="en-US"/>
              </w:rPr>
            </w:pPr>
            <w:r w:rsidRPr="004C17CD">
              <w:rPr>
                <w:lang w:val="en-US"/>
              </w:rPr>
              <w:t>Larisa Takaladze, Associate Professor at Sokhumi State University,</w:t>
            </w:r>
          </w:p>
          <w:p w:rsidR="00A717A8" w:rsidRPr="004C17CD" w:rsidRDefault="00A717A8" w:rsidP="004C17CD">
            <w:pPr>
              <w:pStyle w:val="Default"/>
              <w:jc w:val="both"/>
              <w:rPr>
                <w:lang w:val="ka-GE"/>
              </w:rPr>
            </w:pPr>
            <w:r w:rsidRPr="004C17CD">
              <w:rPr>
                <w:lang w:val="en-US"/>
              </w:rPr>
              <w:t>Telephone number</w:t>
            </w:r>
            <w:r w:rsidRPr="004C17CD">
              <w:rPr>
                <w:lang w:val="ka-GE"/>
              </w:rPr>
              <w:t xml:space="preserve">: </w:t>
            </w:r>
            <w:r w:rsidRPr="004C17CD">
              <w:rPr>
                <w:lang w:val="en-US"/>
              </w:rPr>
              <w:t xml:space="preserve">+995 </w:t>
            </w:r>
            <w:r w:rsidRPr="004C17CD">
              <w:rPr>
                <w:lang w:val="ka-GE"/>
              </w:rPr>
              <w:t xml:space="preserve">577-17-07-18 </w:t>
            </w:r>
          </w:p>
          <w:p w:rsidR="00A717A8" w:rsidRPr="004C17CD" w:rsidRDefault="00A717A8" w:rsidP="004C17CD">
            <w:pPr>
              <w:pStyle w:val="Default"/>
              <w:jc w:val="both"/>
              <w:rPr>
                <w:lang w:val="ka-GE"/>
              </w:rPr>
            </w:pPr>
            <w:r w:rsidRPr="004C17CD">
              <w:rPr>
                <w:lang w:val="ka-GE"/>
              </w:rPr>
              <w:t>e</w:t>
            </w:r>
            <w:r w:rsidRPr="004C17CD">
              <w:rPr>
                <w:lang w:val="en-US"/>
              </w:rPr>
              <w:t>-mail</w:t>
            </w:r>
            <w:r w:rsidRPr="004C17CD">
              <w:rPr>
                <w:lang w:val="ka-GE"/>
              </w:rPr>
              <w:t xml:space="preserve">: larok2706@rambler.ru </w:t>
            </w:r>
          </w:p>
          <w:p w:rsidR="00A717A8" w:rsidRPr="004C17CD" w:rsidRDefault="00A717A8" w:rsidP="004C17CD">
            <w:pPr>
              <w:pStyle w:val="Default"/>
              <w:rPr>
                <w:rFonts w:cs="Times New Roman"/>
                <w:i/>
                <w:iCs/>
                <w:sz w:val="28"/>
                <w:szCs w:val="28"/>
                <w:lang w:val="en-US"/>
              </w:rPr>
            </w:pPr>
            <w:r w:rsidRPr="004C17CD">
              <w:rPr>
                <w:lang w:val="en-US"/>
              </w:rPr>
              <w:t xml:space="preserve">Consultation days: </w:t>
            </w:r>
            <w:r w:rsidRPr="004C17CD">
              <w:rPr>
                <w:lang w:val="ka-GE"/>
              </w:rPr>
              <w:t xml:space="preserve"> </w:t>
            </w:r>
            <w:r w:rsidRPr="004C17CD">
              <w:rPr>
                <w:lang w:val="en-US"/>
              </w:rPr>
              <w:t>Mon-Fri  11:00 – 13:00</w:t>
            </w:r>
          </w:p>
        </w:tc>
      </w:tr>
      <w:tr w:rsidR="00A717A8" w:rsidRPr="00F1043A">
        <w:trPr>
          <w:trHeight w:val="530"/>
        </w:trPr>
        <w:tc>
          <w:tcPr>
            <w:tcW w:w="3240" w:type="dxa"/>
          </w:tcPr>
          <w:p w:rsidR="00A717A8" w:rsidRPr="00576910" w:rsidRDefault="00A717A8" w:rsidP="00A92139">
            <w:pPr>
              <w:rPr>
                <w:rFonts w:ascii="AcadNusx" w:hAnsi="AcadNusx" w:cs="AcadNusx"/>
                <w:b/>
                <w:bCs/>
                <w:i/>
                <w:iCs/>
                <w:lang w:val="en-US"/>
              </w:rPr>
            </w:pPr>
            <w:r w:rsidRPr="00576910">
              <w:rPr>
                <w:rFonts w:ascii="Sylfaen" w:hAnsi="Sylfaen" w:cs="Sylfaen"/>
                <w:b/>
                <w:bCs/>
                <w:i/>
                <w:iCs/>
                <w:lang w:val="en-US"/>
              </w:rPr>
              <w:t>Course Learning Objectives</w:t>
            </w:r>
          </w:p>
        </w:tc>
        <w:tc>
          <w:tcPr>
            <w:tcW w:w="6660" w:type="dxa"/>
          </w:tcPr>
          <w:p w:rsidR="00A717A8" w:rsidRPr="00D63679" w:rsidRDefault="00A717A8" w:rsidP="00D63679">
            <w:pPr>
              <w:rPr>
                <w:lang w:val="en-US"/>
              </w:rPr>
            </w:pPr>
            <w:r>
              <w:rPr>
                <w:lang w:val="en-US"/>
              </w:rPr>
              <w:t>The objectives of the course are to:</w:t>
            </w:r>
          </w:p>
          <w:p w:rsidR="00A717A8" w:rsidRPr="001C7435" w:rsidRDefault="00A717A8" w:rsidP="00D63679">
            <w:pPr>
              <w:pStyle w:val="ListParagraph"/>
              <w:numPr>
                <w:ilvl w:val="0"/>
                <w:numId w:val="13"/>
              </w:numPr>
              <w:rPr>
                <w:lang w:val="en-US"/>
              </w:rPr>
            </w:pPr>
            <w:r w:rsidRPr="001C7435">
              <w:rPr>
                <w:lang w:val="en-US"/>
              </w:rPr>
              <w:t>Define and explain project management and project leadership.</w:t>
            </w:r>
          </w:p>
          <w:p w:rsidR="00A717A8" w:rsidRPr="001C7435" w:rsidRDefault="00A717A8" w:rsidP="00D63679">
            <w:pPr>
              <w:pStyle w:val="ListParagraph"/>
              <w:numPr>
                <w:ilvl w:val="0"/>
                <w:numId w:val="13"/>
              </w:numPr>
              <w:rPr>
                <w:lang w:val="en-US"/>
              </w:rPr>
            </w:pPr>
            <w:r w:rsidRPr="001C7435">
              <w:rPr>
                <w:lang w:val="en-US"/>
              </w:rPr>
              <w:t xml:space="preserve">Understand and apply the sequential steps of the project management framework. </w:t>
            </w:r>
          </w:p>
          <w:p w:rsidR="00A717A8" w:rsidRPr="001C7435" w:rsidRDefault="00A717A8" w:rsidP="00D63679">
            <w:pPr>
              <w:pStyle w:val="ListParagraph"/>
              <w:numPr>
                <w:ilvl w:val="0"/>
                <w:numId w:val="13"/>
              </w:numPr>
              <w:rPr>
                <w:lang w:val="en-US"/>
              </w:rPr>
            </w:pPr>
            <w:r w:rsidRPr="001C7435">
              <w:rPr>
                <w:lang w:val="en-US"/>
              </w:rPr>
              <w:t xml:space="preserve"> Understand the importance and function of project management and apply the project process of initiating, planning, executing, controlling and closing the project. </w:t>
            </w:r>
          </w:p>
          <w:p w:rsidR="00A717A8" w:rsidRPr="001C7435" w:rsidRDefault="00A717A8" w:rsidP="00D63679">
            <w:pPr>
              <w:pStyle w:val="ListParagraph"/>
              <w:numPr>
                <w:ilvl w:val="0"/>
                <w:numId w:val="13"/>
              </w:numPr>
              <w:rPr>
                <w:lang w:val="en-US"/>
              </w:rPr>
            </w:pPr>
            <w:r w:rsidRPr="001C7435">
              <w:rPr>
                <w:lang w:val="en-US"/>
              </w:rPr>
              <w:t xml:space="preserve">Define the roles of the project manager, the project team member and effectively communicate with the project team, clients and customer (sponsor) </w:t>
            </w:r>
          </w:p>
          <w:p w:rsidR="00A717A8" w:rsidRPr="001C7435" w:rsidRDefault="00A717A8" w:rsidP="00D63679">
            <w:pPr>
              <w:pStyle w:val="ListParagraph"/>
              <w:numPr>
                <w:ilvl w:val="0"/>
                <w:numId w:val="13"/>
              </w:numPr>
              <w:rPr>
                <w:lang w:val="en-US"/>
              </w:rPr>
            </w:pPr>
            <w:r w:rsidRPr="001C7435">
              <w:rPr>
                <w:lang w:val="en-US"/>
              </w:rPr>
              <w:t xml:space="preserve">Apply knowledge and skills to manage the project scope, project time and work flow, project cost and budgets, project resources, project quality, project human resource requirements, project communication (reports, meetings, correspondence, etc.) project changes and project risk management. </w:t>
            </w:r>
          </w:p>
          <w:p w:rsidR="00A717A8" w:rsidRPr="00D63679" w:rsidRDefault="00A717A8" w:rsidP="00D63679">
            <w:pPr>
              <w:pStyle w:val="ListParagraph"/>
              <w:numPr>
                <w:ilvl w:val="0"/>
                <w:numId w:val="13"/>
              </w:numPr>
              <w:rPr>
                <w:lang w:val="en-US"/>
              </w:rPr>
            </w:pPr>
            <w:r w:rsidRPr="001C7435">
              <w:rPr>
                <w:lang w:val="en-US"/>
              </w:rPr>
              <w:t>Understand the critical people skills needed to lead projects.</w:t>
            </w:r>
            <w:r>
              <w:rPr>
                <w:lang w:val="en-US"/>
              </w:rPr>
              <w:t xml:space="preserve"> </w:t>
            </w:r>
            <w:r w:rsidRPr="00D63679">
              <w:t>Prepare a project charter.</w:t>
            </w:r>
          </w:p>
        </w:tc>
      </w:tr>
      <w:tr w:rsidR="00A717A8" w:rsidRPr="00F1043A">
        <w:tc>
          <w:tcPr>
            <w:tcW w:w="3240" w:type="dxa"/>
          </w:tcPr>
          <w:p w:rsidR="00A717A8" w:rsidRPr="00576910" w:rsidRDefault="00A717A8" w:rsidP="00A92139">
            <w:pPr>
              <w:rPr>
                <w:rFonts w:ascii="AcadNusx" w:hAnsi="AcadNusx" w:cs="AcadNusx"/>
                <w:b/>
                <w:bCs/>
                <w:i/>
                <w:iCs/>
                <w:lang w:val="en-US"/>
              </w:rPr>
            </w:pPr>
            <w:r w:rsidRPr="00576910">
              <w:rPr>
                <w:rFonts w:ascii="Sylfaen" w:hAnsi="Sylfaen" w:cs="Sylfaen"/>
                <w:b/>
                <w:bCs/>
                <w:i/>
                <w:iCs/>
                <w:lang w:val="en-US"/>
              </w:rPr>
              <w:t>Course Content</w:t>
            </w:r>
          </w:p>
        </w:tc>
        <w:tc>
          <w:tcPr>
            <w:tcW w:w="6660" w:type="dxa"/>
          </w:tcPr>
          <w:p w:rsidR="00A717A8" w:rsidRPr="00D63679" w:rsidRDefault="00A717A8" w:rsidP="00A92139">
            <w:pPr>
              <w:pStyle w:val="Default"/>
              <w:jc w:val="center"/>
              <w:rPr>
                <w:rFonts w:cs="Times New Roman"/>
                <w:i/>
                <w:iCs/>
              </w:rPr>
            </w:pPr>
            <w:r w:rsidRPr="00D63679">
              <w:rPr>
                <w:b/>
                <w:bCs/>
                <w:i/>
                <w:iCs/>
                <w:lang w:val="en-US"/>
              </w:rPr>
              <w:t>See the attachment</w:t>
            </w:r>
            <w:r w:rsidRPr="00D63679">
              <w:rPr>
                <w:b/>
                <w:bCs/>
                <w:i/>
                <w:iCs/>
                <w:lang w:val="ka-GE"/>
              </w:rPr>
              <w:t xml:space="preserve"> </w:t>
            </w:r>
          </w:p>
        </w:tc>
      </w:tr>
      <w:tr w:rsidR="00A717A8" w:rsidRPr="003A35EB">
        <w:trPr>
          <w:trHeight w:val="699"/>
        </w:trPr>
        <w:tc>
          <w:tcPr>
            <w:tcW w:w="3240" w:type="dxa"/>
          </w:tcPr>
          <w:p w:rsidR="00A717A8" w:rsidRPr="00576910" w:rsidRDefault="00A717A8" w:rsidP="00A92139">
            <w:pPr>
              <w:rPr>
                <w:rFonts w:ascii="AcadNusx" w:hAnsi="AcadNusx" w:cs="AcadNusx"/>
                <w:b/>
                <w:bCs/>
                <w:i/>
                <w:iCs/>
                <w:lang w:val="it-IT"/>
              </w:rPr>
            </w:pPr>
            <w:r w:rsidRPr="00576910">
              <w:rPr>
                <w:rFonts w:ascii="Sylfaen" w:hAnsi="Sylfaen" w:cs="Sylfaen"/>
                <w:b/>
                <w:bCs/>
                <w:i/>
                <w:iCs/>
                <w:lang w:val="it-IT"/>
              </w:rPr>
              <w:t>Required and additional literature</w:t>
            </w:r>
          </w:p>
        </w:tc>
        <w:tc>
          <w:tcPr>
            <w:tcW w:w="6660" w:type="dxa"/>
          </w:tcPr>
          <w:p w:rsidR="00A717A8" w:rsidRPr="0021178F" w:rsidRDefault="00A717A8" w:rsidP="00D63679">
            <w:pPr>
              <w:pStyle w:val="ListParagraph"/>
              <w:numPr>
                <w:ilvl w:val="0"/>
                <w:numId w:val="14"/>
              </w:numPr>
              <w:ind w:left="453"/>
              <w:rPr>
                <w:rFonts w:ascii="Sylfaen" w:hAnsi="Sylfaen" w:cs="Sylfaen"/>
                <w:lang w:val="ka-GE"/>
              </w:rPr>
            </w:pPr>
            <w:r w:rsidRPr="0021178F">
              <w:rPr>
                <w:rFonts w:ascii="Sylfaen" w:hAnsi="Sylfaen" w:cs="Sylfaen"/>
                <w:lang w:val="ka-GE"/>
              </w:rPr>
              <w:t>შ. ძნელაძე, ი. მშვენიერაძე „პროექტების მართვის სისტემა - Project 2000“</w:t>
            </w:r>
            <w:r w:rsidRPr="0021178F">
              <w:rPr>
                <w:rFonts w:ascii="Sylfaen" w:hAnsi="Sylfaen" w:cs="Sylfaen"/>
                <w:lang w:val="en-US"/>
              </w:rPr>
              <w:t xml:space="preserve">, </w:t>
            </w:r>
            <w:r w:rsidRPr="0021178F">
              <w:rPr>
                <w:rFonts w:ascii="Sylfaen" w:hAnsi="Sylfaen" w:cs="Sylfaen"/>
                <w:lang w:val="ka-GE"/>
              </w:rPr>
              <w:t>თბილისი, 2002</w:t>
            </w:r>
            <w:r>
              <w:rPr>
                <w:rFonts w:ascii="Sylfaen" w:hAnsi="Sylfaen" w:cs="Sylfaen"/>
                <w:lang w:val="en-US"/>
              </w:rPr>
              <w:t>.</w:t>
            </w:r>
          </w:p>
          <w:p w:rsidR="00A717A8" w:rsidRPr="0021178F" w:rsidRDefault="00A717A8" w:rsidP="00D63679">
            <w:pPr>
              <w:pStyle w:val="ListParagraph"/>
              <w:numPr>
                <w:ilvl w:val="0"/>
                <w:numId w:val="14"/>
              </w:numPr>
              <w:ind w:left="453" w:hanging="284"/>
              <w:rPr>
                <w:rFonts w:ascii="Sylfaen" w:hAnsi="Sylfaen" w:cs="Sylfaen"/>
              </w:rPr>
            </w:pPr>
            <w:r w:rsidRPr="0021178F">
              <w:rPr>
                <w:rFonts w:ascii="Sylfaen" w:hAnsi="Sylfaen" w:cs="Sylfaen"/>
              </w:rPr>
              <w:t>Гордон Уэбстер «Планирование и управление проектами для менеджеров», М. 2006</w:t>
            </w:r>
            <w:r w:rsidRPr="0094580C">
              <w:rPr>
                <w:rFonts w:ascii="Sylfaen" w:hAnsi="Sylfaen" w:cs="Sylfaen"/>
              </w:rPr>
              <w:t>.</w:t>
            </w:r>
          </w:p>
          <w:p w:rsidR="00A717A8" w:rsidRPr="00816D2B" w:rsidRDefault="00A717A8" w:rsidP="00D63679">
            <w:pPr>
              <w:pStyle w:val="ListParagraph"/>
              <w:numPr>
                <w:ilvl w:val="0"/>
                <w:numId w:val="14"/>
              </w:numPr>
              <w:ind w:left="453" w:hanging="284"/>
              <w:rPr>
                <w:rFonts w:ascii="Sylfaen" w:hAnsi="Sylfaen" w:cs="Sylfaen"/>
                <w:sz w:val="28"/>
                <w:szCs w:val="28"/>
                <w:lang w:val="ka-GE"/>
              </w:rPr>
            </w:pPr>
            <w:r w:rsidRPr="0021178F">
              <w:rPr>
                <w:rFonts w:ascii="Sylfaen" w:hAnsi="Sylfaen" w:cs="Sylfaen"/>
              </w:rPr>
              <w:t>Сабине Пайне «Проектный менеджмент», М. 2005</w:t>
            </w:r>
            <w:r w:rsidRPr="0094580C">
              <w:rPr>
                <w:rFonts w:ascii="Sylfaen" w:hAnsi="Sylfaen" w:cs="Sylfaen"/>
              </w:rPr>
              <w:t>.</w:t>
            </w:r>
          </w:p>
          <w:p w:rsidR="00A717A8" w:rsidRPr="00D63679" w:rsidRDefault="00A717A8" w:rsidP="00D63679">
            <w:pPr>
              <w:rPr>
                <w:rFonts w:ascii="Sylfaen" w:hAnsi="Sylfaen" w:cs="Sylfaen"/>
                <w:i/>
                <w:iCs/>
                <w:sz w:val="28"/>
                <w:szCs w:val="28"/>
                <w:lang w:val="ka-GE"/>
              </w:rPr>
            </w:pPr>
          </w:p>
        </w:tc>
      </w:tr>
      <w:tr w:rsidR="00A717A8" w:rsidRPr="004C17CD">
        <w:tc>
          <w:tcPr>
            <w:tcW w:w="3240" w:type="dxa"/>
          </w:tcPr>
          <w:p w:rsidR="00A717A8" w:rsidRPr="00576910" w:rsidRDefault="00A717A8" w:rsidP="00A92139">
            <w:pPr>
              <w:tabs>
                <w:tab w:val="left" w:pos="2070"/>
              </w:tabs>
              <w:rPr>
                <w:rFonts w:ascii="AcadNusx" w:hAnsi="AcadNusx" w:cs="AcadNusx"/>
                <w:b/>
                <w:bCs/>
                <w:i/>
                <w:iCs/>
                <w:lang w:val="ka-GE"/>
              </w:rPr>
            </w:pPr>
            <w:r w:rsidRPr="00576910">
              <w:rPr>
                <w:rFonts w:ascii="Sylfaen" w:hAnsi="Sylfaen" w:cs="Sylfaen"/>
                <w:b/>
                <w:bCs/>
                <w:i/>
                <w:iCs/>
                <w:lang w:val="en-US"/>
              </w:rPr>
              <w:t>Course Outcomes</w:t>
            </w:r>
          </w:p>
        </w:tc>
        <w:tc>
          <w:tcPr>
            <w:tcW w:w="6660" w:type="dxa"/>
          </w:tcPr>
          <w:p w:rsidR="00A717A8" w:rsidRPr="001C7435" w:rsidRDefault="00A717A8" w:rsidP="002C5A42">
            <w:pPr>
              <w:rPr>
                <w:lang w:val="en-US"/>
              </w:rPr>
            </w:pPr>
            <w:r w:rsidRPr="001C7435">
              <w:rPr>
                <w:lang w:val="en-US"/>
              </w:rPr>
              <w:t>Students will learn how to:</w:t>
            </w:r>
          </w:p>
          <w:p w:rsidR="00A717A8" w:rsidRPr="00853FBD" w:rsidRDefault="00A717A8" w:rsidP="002C5A42">
            <w:pPr>
              <w:numPr>
                <w:ilvl w:val="0"/>
                <w:numId w:val="9"/>
              </w:numPr>
              <w:spacing w:before="100" w:beforeAutospacing="1" w:after="100" w:afterAutospacing="1"/>
              <w:rPr>
                <w:lang w:val="en-US"/>
              </w:rPr>
            </w:pPr>
            <w:r w:rsidRPr="00853FBD">
              <w:rPr>
                <w:lang w:val="en-US"/>
              </w:rPr>
              <w:t>Plan a project to ensure successful delivery and stakeholder satisfaction</w:t>
            </w:r>
            <w:r>
              <w:rPr>
                <w:lang w:val="en-US"/>
              </w:rPr>
              <w:t>.</w:t>
            </w:r>
          </w:p>
          <w:p w:rsidR="00A717A8" w:rsidRPr="00853FBD" w:rsidRDefault="00A717A8" w:rsidP="002C5A42">
            <w:pPr>
              <w:numPr>
                <w:ilvl w:val="0"/>
                <w:numId w:val="9"/>
              </w:numPr>
              <w:spacing w:before="100" w:beforeAutospacing="1" w:after="100" w:afterAutospacing="1"/>
              <w:rPr>
                <w:lang w:val="en-US"/>
              </w:rPr>
            </w:pPr>
            <w:r w:rsidRPr="00853FBD">
              <w:rPr>
                <w:lang w:val="en-US"/>
              </w:rPr>
              <w:t>Apply best practices to</w:t>
            </w:r>
            <w:r w:rsidRPr="001C7435">
              <w:rPr>
                <w:lang w:val="en-US"/>
              </w:rPr>
              <w:t xml:space="preserve"> plan and run projects using a 8</w:t>
            </w:r>
            <w:r w:rsidRPr="00853FBD">
              <w:rPr>
                <w:lang w:val="en-US"/>
              </w:rPr>
              <w:t>-step project management process</w:t>
            </w:r>
            <w:r>
              <w:rPr>
                <w:lang w:val="en-US"/>
              </w:rPr>
              <w:t>.</w:t>
            </w:r>
          </w:p>
          <w:p w:rsidR="00A717A8" w:rsidRPr="00853FBD" w:rsidRDefault="00A717A8" w:rsidP="002C5A42">
            <w:pPr>
              <w:numPr>
                <w:ilvl w:val="0"/>
                <w:numId w:val="9"/>
              </w:numPr>
              <w:spacing w:before="100" w:beforeAutospacing="1" w:after="100" w:afterAutospacing="1"/>
              <w:rPr>
                <w:lang w:val="en-US"/>
              </w:rPr>
            </w:pPr>
            <w:r w:rsidRPr="00853FBD">
              <w:rPr>
                <w:lang w:val="en-US"/>
              </w:rPr>
              <w:t>Implement risk management techniques and mitigation strategies</w:t>
            </w:r>
            <w:r>
              <w:rPr>
                <w:lang w:val="en-US"/>
              </w:rPr>
              <w:t>.</w:t>
            </w:r>
          </w:p>
          <w:p w:rsidR="00A717A8" w:rsidRPr="00853FBD" w:rsidRDefault="00A717A8" w:rsidP="002C5A42">
            <w:pPr>
              <w:numPr>
                <w:ilvl w:val="0"/>
                <w:numId w:val="9"/>
              </w:numPr>
              <w:spacing w:before="100" w:beforeAutospacing="1" w:after="100" w:afterAutospacing="1"/>
              <w:rPr>
                <w:lang w:val="en-US"/>
              </w:rPr>
            </w:pPr>
            <w:r w:rsidRPr="00853FBD">
              <w:rPr>
                <w:lang w:val="en-US"/>
              </w:rPr>
              <w:t>Estimate and schedule task work and duration with confidence</w:t>
            </w:r>
            <w:r>
              <w:rPr>
                <w:lang w:val="en-US"/>
              </w:rPr>
              <w:t>.</w:t>
            </w:r>
          </w:p>
          <w:p w:rsidR="00A717A8" w:rsidRPr="00853FBD" w:rsidRDefault="00A717A8" w:rsidP="002C5A42">
            <w:pPr>
              <w:numPr>
                <w:ilvl w:val="0"/>
                <w:numId w:val="9"/>
              </w:numPr>
              <w:spacing w:before="100" w:beforeAutospacing="1" w:after="100" w:afterAutospacing="1"/>
              <w:rPr>
                <w:lang w:val="en-US"/>
              </w:rPr>
            </w:pPr>
            <w:r w:rsidRPr="00853FBD">
              <w:rPr>
                <w:lang w:val="en-US"/>
              </w:rPr>
              <w:t>Implement monitoring</w:t>
            </w:r>
            <w:r>
              <w:rPr>
                <w:lang w:val="en-US"/>
              </w:rPr>
              <w:t xml:space="preserve"> tools and controls to keep </w:t>
            </w:r>
            <w:r w:rsidRPr="00853FBD">
              <w:rPr>
                <w:lang w:val="en-US"/>
              </w:rPr>
              <w:t>fully in command of the project</w:t>
            </w:r>
            <w:r>
              <w:rPr>
                <w:lang w:val="en-US"/>
              </w:rPr>
              <w:t>.</w:t>
            </w:r>
          </w:p>
          <w:p w:rsidR="00A717A8" w:rsidRPr="002C5A42" w:rsidRDefault="00A717A8" w:rsidP="002C5A42">
            <w:pPr>
              <w:numPr>
                <w:ilvl w:val="0"/>
                <w:numId w:val="9"/>
              </w:numPr>
              <w:spacing w:before="100" w:beforeAutospacing="1" w:after="100" w:afterAutospacing="1"/>
              <w:rPr>
                <w:lang w:val="en-US"/>
              </w:rPr>
            </w:pPr>
            <w:r w:rsidRPr="00853FBD">
              <w:rPr>
                <w:lang w:val="en-US"/>
              </w:rPr>
              <w:t>Recognize and practice the leadership skills needed to run a motivated team</w:t>
            </w:r>
            <w:r>
              <w:rPr>
                <w:lang w:val="en-US"/>
              </w:rPr>
              <w:t>.</w:t>
            </w:r>
          </w:p>
        </w:tc>
      </w:tr>
      <w:tr w:rsidR="00A717A8" w:rsidRPr="00F1043A">
        <w:tc>
          <w:tcPr>
            <w:tcW w:w="3240" w:type="dxa"/>
          </w:tcPr>
          <w:p w:rsidR="00A717A8" w:rsidRPr="00576910" w:rsidRDefault="00A717A8" w:rsidP="00A92139">
            <w:pPr>
              <w:tabs>
                <w:tab w:val="left" w:pos="2070"/>
              </w:tabs>
              <w:rPr>
                <w:rFonts w:ascii="AcadNusx" w:hAnsi="AcadNusx" w:cs="AcadNusx"/>
                <w:b/>
                <w:bCs/>
                <w:i/>
                <w:iCs/>
                <w:lang w:val="ka-GE"/>
              </w:rPr>
            </w:pPr>
            <w:r w:rsidRPr="00576910">
              <w:rPr>
                <w:rFonts w:ascii="Sylfaen" w:hAnsi="Sylfaen" w:cs="Sylfaen"/>
                <w:b/>
                <w:bCs/>
                <w:i/>
                <w:iCs/>
                <w:lang w:val="en-US"/>
              </w:rPr>
              <w:t xml:space="preserve">Teaching and Learning Methods </w:t>
            </w:r>
          </w:p>
        </w:tc>
        <w:tc>
          <w:tcPr>
            <w:tcW w:w="6660" w:type="dxa"/>
          </w:tcPr>
          <w:p w:rsidR="00A717A8" w:rsidRDefault="00A717A8" w:rsidP="0021178F">
            <w:pPr>
              <w:jc w:val="both"/>
              <w:rPr>
                <w:rFonts w:ascii="Sylfaen" w:hAnsi="Sylfaen" w:cs="Sylfaen"/>
                <w:lang w:val="en-US"/>
              </w:rPr>
            </w:pPr>
            <w:r>
              <w:rPr>
                <w:rFonts w:ascii="Sylfaen" w:hAnsi="Sylfaen" w:cs="Sylfaen"/>
                <w:lang w:val="en-US"/>
              </w:rPr>
              <w:t>The following methods are used:</w:t>
            </w:r>
          </w:p>
          <w:p w:rsidR="00A717A8" w:rsidRDefault="00A717A8" w:rsidP="0021178F">
            <w:pPr>
              <w:pStyle w:val="ListParagraph"/>
              <w:numPr>
                <w:ilvl w:val="0"/>
                <w:numId w:val="15"/>
              </w:numPr>
              <w:jc w:val="both"/>
              <w:rPr>
                <w:rFonts w:ascii="Sylfaen" w:hAnsi="Sylfaen" w:cs="Sylfaen"/>
                <w:lang w:val="en-US"/>
              </w:rPr>
            </w:pPr>
            <w:r>
              <w:rPr>
                <w:rFonts w:ascii="Sylfaen" w:hAnsi="Sylfaen" w:cs="Sylfaen"/>
                <w:lang w:val="en-US"/>
              </w:rPr>
              <w:t>explanation methods;</w:t>
            </w:r>
          </w:p>
          <w:p w:rsidR="00A717A8" w:rsidRDefault="00A717A8" w:rsidP="0021178F">
            <w:pPr>
              <w:pStyle w:val="ListParagraph"/>
              <w:numPr>
                <w:ilvl w:val="0"/>
                <w:numId w:val="15"/>
              </w:numPr>
              <w:jc w:val="both"/>
              <w:rPr>
                <w:rFonts w:ascii="Sylfaen" w:hAnsi="Sylfaen" w:cs="Sylfaen"/>
                <w:lang w:val="en-US"/>
              </w:rPr>
            </w:pPr>
            <w:r>
              <w:rPr>
                <w:rFonts w:ascii="Sylfaen" w:hAnsi="Sylfaen" w:cs="Sylfaen"/>
                <w:lang w:val="en-US"/>
              </w:rPr>
              <w:t>case study</w:t>
            </w:r>
          </w:p>
          <w:p w:rsidR="00A717A8" w:rsidRDefault="00A717A8" w:rsidP="0021178F">
            <w:pPr>
              <w:pStyle w:val="ListParagraph"/>
              <w:numPr>
                <w:ilvl w:val="0"/>
                <w:numId w:val="15"/>
              </w:numPr>
              <w:jc w:val="both"/>
              <w:rPr>
                <w:rFonts w:ascii="Sylfaen" w:hAnsi="Sylfaen" w:cs="Sylfaen"/>
                <w:lang w:val="en-US"/>
              </w:rPr>
            </w:pPr>
            <w:r>
              <w:rPr>
                <w:rFonts w:ascii="Sylfaen" w:hAnsi="Sylfaen" w:cs="Sylfaen"/>
                <w:lang w:val="en-US"/>
              </w:rPr>
              <w:t>demonstration method;</w:t>
            </w:r>
          </w:p>
          <w:p w:rsidR="00A717A8" w:rsidRDefault="00A717A8" w:rsidP="0021178F">
            <w:pPr>
              <w:pStyle w:val="ListParagraph"/>
              <w:numPr>
                <w:ilvl w:val="0"/>
                <w:numId w:val="15"/>
              </w:numPr>
              <w:jc w:val="both"/>
              <w:rPr>
                <w:rFonts w:ascii="Sylfaen" w:hAnsi="Sylfaen" w:cs="Sylfaen"/>
                <w:lang w:val="en-US"/>
              </w:rPr>
            </w:pPr>
            <w:r>
              <w:rPr>
                <w:rFonts w:ascii="Sylfaen" w:hAnsi="Sylfaen" w:cs="Sylfaen"/>
                <w:lang w:val="en-US"/>
              </w:rPr>
              <w:t>analysis method;</w:t>
            </w:r>
          </w:p>
          <w:p w:rsidR="00A717A8" w:rsidRDefault="00A717A8" w:rsidP="0021178F">
            <w:pPr>
              <w:pStyle w:val="ListParagraph"/>
              <w:numPr>
                <w:ilvl w:val="0"/>
                <w:numId w:val="15"/>
              </w:numPr>
              <w:jc w:val="both"/>
              <w:rPr>
                <w:rFonts w:ascii="Sylfaen" w:hAnsi="Sylfaen" w:cs="Sylfaen"/>
                <w:lang w:val="en-US"/>
              </w:rPr>
            </w:pPr>
            <w:r>
              <w:rPr>
                <w:rFonts w:ascii="Sylfaen" w:hAnsi="Sylfaen" w:cs="Sylfaen"/>
                <w:lang w:val="en-US"/>
              </w:rPr>
              <w:t>writing method;</w:t>
            </w:r>
          </w:p>
          <w:p w:rsidR="00A717A8" w:rsidRDefault="00A717A8" w:rsidP="0021178F">
            <w:pPr>
              <w:pStyle w:val="ListParagraph"/>
              <w:numPr>
                <w:ilvl w:val="0"/>
                <w:numId w:val="15"/>
              </w:numPr>
              <w:jc w:val="both"/>
              <w:rPr>
                <w:rFonts w:ascii="Sylfaen" w:hAnsi="Sylfaen" w:cs="Sylfaen"/>
                <w:lang w:val="en-US"/>
              </w:rPr>
            </w:pPr>
            <w:r>
              <w:rPr>
                <w:rFonts w:ascii="Sylfaen" w:hAnsi="Sylfaen" w:cs="Sylfaen"/>
                <w:lang w:val="en-US"/>
              </w:rPr>
              <w:t>verbal method, discussion/debates.</w:t>
            </w:r>
          </w:p>
          <w:p w:rsidR="00A717A8" w:rsidRPr="0021178F" w:rsidRDefault="00A717A8" w:rsidP="00A92139">
            <w:pPr>
              <w:pStyle w:val="ListParagraph"/>
              <w:numPr>
                <w:ilvl w:val="0"/>
                <w:numId w:val="15"/>
              </w:numPr>
              <w:jc w:val="both"/>
              <w:rPr>
                <w:rFonts w:ascii="Sylfaen" w:hAnsi="Sylfaen" w:cs="Sylfaen"/>
                <w:lang w:val="en-US"/>
              </w:rPr>
            </w:pPr>
            <w:r>
              <w:rPr>
                <w:rFonts w:ascii="Sylfaen" w:hAnsi="Sylfaen" w:cs="Sylfaen"/>
                <w:lang w:val="en-US"/>
              </w:rPr>
              <w:t xml:space="preserve">practical methods. </w:t>
            </w:r>
          </w:p>
        </w:tc>
      </w:tr>
      <w:tr w:rsidR="00A717A8" w:rsidRPr="004C17CD">
        <w:tc>
          <w:tcPr>
            <w:tcW w:w="3240" w:type="dxa"/>
          </w:tcPr>
          <w:p w:rsidR="00A717A8" w:rsidRPr="00576910" w:rsidRDefault="00A717A8" w:rsidP="00A92139">
            <w:pPr>
              <w:rPr>
                <w:rFonts w:ascii="AcadNusx" w:hAnsi="AcadNusx" w:cs="AcadNusx"/>
                <w:b/>
                <w:bCs/>
                <w:i/>
                <w:iCs/>
                <w:lang w:val="fr-FR"/>
              </w:rPr>
            </w:pPr>
            <w:r w:rsidRPr="00576910">
              <w:rPr>
                <w:rFonts w:ascii="Sylfaen" w:hAnsi="Sylfaen" w:cs="Sylfaen"/>
                <w:b/>
                <w:bCs/>
                <w:i/>
                <w:iCs/>
                <w:lang w:val="fr-FR"/>
              </w:rPr>
              <w:t>Grading system</w:t>
            </w:r>
          </w:p>
        </w:tc>
        <w:tc>
          <w:tcPr>
            <w:tcW w:w="6660" w:type="dxa"/>
          </w:tcPr>
          <w:p w:rsidR="00A717A8" w:rsidRPr="00F77EB6" w:rsidRDefault="00A717A8" w:rsidP="00651DAC">
            <w:pPr>
              <w:jc w:val="both"/>
              <w:rPr>
                <w:rFonts w:ascii="Sylfaen" w:hAnsi="Sylfaen" w:cs="Sylfaen"/>
                <w:lang w:val="en-US"/>
              </w:rPr>
            </w:pPr>
            <w:r w:rsidRPr="00F77EB6">
              <w:rPr>
                <w:rFonts w:ascii="Sylfaen" w:hAnsi="Sylfaen" w:cs="Sylfaen"/>
                <w:lang w:val="en-US"/>
              </w:rPr>
              <w:t>Students are assessed in accordance with the grading system of maximum 100 points. The grading system covers the following competences:</w:t>
            </w:r>
          </w:p>
          <w:p w:rsidR="00A717A8" w:rsidRPr="00F77EB6" w:rsidRDefault="00A717A8" w:rsidP="00651DAC">
            <w:pPr>
              <w:pStyle w:val="Default"/>
              <w:numPr>
                <w:ilvl w:val="0"/>
                <w:numId w:val="1"/>
              </w:numPr>
              <w:ind w:left="453"/>
              <w:rPr>
                <w:rFonts w:ascii="AcadNusx" w:hAnsi="AcadNusx" w:cs="AcadNusx"/>
                <w:b/>
                <w:bCs/>
                <w:lang w:val="en-US"/>
              </w:rPr>
            </w:pPr>
            <w:r w:rsidRPr="00F77EB6">
              <w:rPr>
                <w:b/>
                <w:bCs/>
                <w:lang w:val="en-US"/>
              </w:rPr>
              <w:t>attendance   -    0 - 10 points;</w:t>
            </w:r>
          </w:p>
          <w:p w:rsidR="00A717A8" w:rsidRPr="00F77EB6" w:rsidRDefault="00A717A8" w:rsidP="00651DAC">
            <w:pPr>
              <w:pStyle w:val="Default"/>
              <w:numPr>
                <w:ilvl w:val="0"/>
                <w:numId w:val="1"/>
              </w:numPr>
              <w:ind w:left="453"/>
              <w:rPr>
                <w:rFonts w:ascii="AcadNusx" w:hAnsi="AcadNusx" w:cs="AcadNusx"/>
                <w:b/>
                <w:bCs/>
                <w:lang w:val="en-US"/>
              </w:rPr>
            </w:pPr>
            <w:r w:rsidRPr="00F77EB6">
              <w:rPr>
                <w:b/>
                <w:bCs/>
                <w:lang w:val="en-US"/>
              </w:rPr>
              <w:t>midterm review  -     0 - 20  points;</w:t>
            </w:r>
          </w:p>
          <w:p w:rsidR="00A717A8" w:rsidRPr="00F77EB6" w:rsidRDefault="00A717A8" w:rsidP="00651DAC">
            <w:pPr>
              <w:pStyle w:val="Default"/>
              <w:numPr>
                <w:ilvl w:val="0"/>
                <w:numId w:val="17"/>
              </w:numPr>
              <w:ind w:left="453" w:hanging="426"/>
              <w:jc w:val="both"/>
              <w:rPr>
                <w:rFonts w:ascii="AcadNusx" w:hAnsi="AcadNusx" w:cs="AcadNusx"/>
                <w:b/>
                <w:bCs/>
                <w:lang w:val="ka-GE"/>
              </w:rPr>
            </w:pPr>
            <w:r w:rsidRPr="00F77EB6">
              <w:rPr>
                <w:b/>
                <w:bCs/>
                <w:lang w:val="en-US"/>
              </w:rPr>
              <w:t xml:space="preserve">midterm exam </w:t>
            </w:r>
            <w:r w:rsidRPr="00F77EB6">
              <w:rPr>
                <w:rFonts w:ascii="AcadNusx" w:hAnsi="AcadNusx" w:cs="AcadNusx"/>
                <w:b/>
                <w:bCs/>
                <w:lang w:val="ka-GE"/>
              </w:rPr>
              <w:t xml:space="preserve"> –</w:t>
            </w:r>
            <w:r w:rsidRPr="00F77EB6">
              <w:rPr>
                <w:b/>
                <w:bCs/>
                <w:lang w:val="ka-GE"/>
              </w:rPr>
              <w:t xml:space="preserve">  0 - 30 </w:t>
            </w:r>
            <w:r w:rsidRPr="00F77EB6">
              <w:rPr>
                <w:b/>
                <w:bCs/>
                <w:lang w:val="en-US"/>
              </w:rPr>
              <w:t>points</w:t>
            </w:r>
            <w:r w:rsidRPr="00F77EB6">
              <w:rPr>
                <w:rFonts w:ascii="AcadNusx" w:hAnsi="AcadNusx" w:cs="AcadNusx"/>
                <w:b/>
                <w:bCs/>
                <w:lang w:val="ka-GE"/>
              </w:rPr>
              <w:t>;</w:t>
            </w:r>
          </w:p>
          <w:p w:rsidR="00A717A8" w:rsidRPr="00F77EB6" w:rsidRDefault="00A717A8" w:rsidP="00651DAC">
            <w:pPr>
              <w:pStyle w:val="Default"/>
              <w:numPr>
                <w:ilvl w:val="0"/>
                <w:numId w:val="4"/>
              </w:numPr>
              <w:ind w:left="453"/>
              <w:rPr>
                <w:rFonts w:ascii="AcadNusx" w:hAnsi="AcadNusx" w:cs="AcadNusx"/>
                <w:b/>
                <w:bCs/>
                <w:lang w:val="ka-GE"/>
              </w:rPr>
            </w:pPr>
            <w:r w:rsidRPr="00F77EB6">
              <w:rPr>
                <w:b/>
                <w:bCs/>
                <w:lang w:val="en-US"/>
              </w:rPr>
              <w:t>final exam</w:t>
            </w:r>
            <w:r w:rsidRPr="00F77EB6">
              <w:rPr>
                <w:b/>
                <w:bCs/>
                <w:lang w:val="ka-GE"/>
              </w:rPr>
              <w:t xml:space="preserve"> - 0 - 40  </w:t>
            </w:r>
            <w:r w:rsidRPr="00F77EB6">
              <w:rPr>
                <w:b/>
                <w:bCs/>
                <w:lang w:val="en-US"/>
              </w:rPr>
              <w:t>points</w:t>
            </w:r>
          </w:p>
          <w:p w:rsidR="00A717A8" w:rsidRPr="00F77EB6" w:rsidRDefault="00A717A8" w:rsidP="00651DAC">
            <w:pPr>
              <w:pStyle w:val="Default"/>
              <w:rPr>
                <w:b/>
                <w:bCs/>
                <w:lang w:val="en-US"/>
              </w:rPr>
            </w:pPr>
            <w:r w:rsidRPr="00F77EB6">
              <w:rPr>
                <w:b/>
                <w:bCs/>
                <w:lang w:val="ka-GE"/>
              </w:rPr>
              <w:t xml:space="preserve">       </w:t>
            </w:r>
            <w:r w:rsidRPr="00F77EB6">
              <w:rPr>
                <w:b/>
                <w:bCs/>
                <w:lang w:val="en-US"/>
              </w:rPr>
              <w:t>Total</w:t>
            </w:r>
            <w:r w:rsidRPr="00F77EB6">
              <w:rPr>
                <w:b/>
                <w:bCs/>
                <w:lang w:val="ka-GE"/>
              </w:rPr>
              <w:t xml:space="preserve">  -  0-100 </w:t>
            </w:r>
            <w:r w:rsidRPr="00F77EB6">
              <w:rPr>
                <w:b/>
                <w:bCs/>
                <w:lang w:val="en-US"/>
              </w:rPr>
              <w:t>points.</w:t>
            </w:r>
          </w:p>
          <w:p w:rsidR="00A717A8" w:rsidRPr="00F1043A" w:rsidRDefault="00A717A8" w:rsidP="00A92139">
            <w:pPr>
              <w:pStyle w:val="Default"/>
              <w:rPr>
                <w:rFonts w:cs="Times New Roman"/>
                <w:b/>
                <w:bCs/>
                <w:sz w:val="28"/>
                <w:szCs w:val="28"/>
                <w:lang w:val="en-US"/>
              </w:rPr>
            </w:pPr>
          </w:p>
          <w:p w:rsidR="00A717A8" w:rsidRPr="00F77EB6" w:rsidRDefault="00A717A8" w:rsidP="007A7ACA">
            <w:pPr>
              <w:jc w:val="both"/>
              <w:rPr>
                <w:rFonts w:ascii="Sylfaen" w:hAnsi="Sylfaen" w:cs="Sylfaen"/>
                <w:lang w:val="en-US"/>
              </w:rPr>
            </w:pPr>
            <w:r w:rsidRPr="00F1043A">
              <w:rPr>
                <w:rFonts w:ascii="Sylfaen" w:hAnsi="Sylfaen" w:cs="Sylfaen"/>
                <w:sz w:val="28"/>
                <w:szCs w:val="28"/>
                <w:lang w:val="ka-GE"/>
              </w:rPr>
              <w:t xml:space="preserve"> </w:t>
            </w:r>
            <w:r w:rsidRPr="00F77EB6">
              <w:rPr>
                <w:rFonts w:ascii="Sylfaen" w:hAnsi="Sylfaen" w:cs="Sylfaen"/>
                <w:lang w:val="en-US"/>
              </w:rPr>
              <w:t>Grading system is of the following type:</w:t>
            </w:r>
          </w:p>
          <w:p w:rsidR="00A717A8" w:rsidRPr="00F77EB6" w:rsidRDefault="00A717A8" w:rsidP="007A7ACA">
            <w:pPr>
              <w:pStyle w:val="Default"/>
              <w:rPr>
                <w:lang w:val="ka-GE"/>
              </w:rPr>
            </w:pPr>
            <w:r w:rsidRPr="00F77EB6">
              <w:rPr>
                <w:lang w:val="ka-GE"/>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4369"/>
            </w:tblGrid>
            <w:tr w:rsidR="00A717A8" w:rsidRPr="00F77EB6">
              <w:tc>
                <w:tcPr>
                  <w:tcW w:w="1818"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jc w:val="center"/>
                    <w:rPr>
                      <w:rFonts w:ascii="Sylfaen" w:hAnsi="Sylfaen" w:cs="Sylfaen"/>
                      <w:b/>
                      <w:bCs/>
                      <w:lang w:val="en-US"/>
                    </w:rPr>
                  </w:pPr>
                  <w:r w:rsidRPr="00F77EB6">
                    <w:rPr>
                      <w:rFonts w:ascii="Sylfaen" w:hAnsi="Sylfaen" w:cs="Sylfaen"/>
                      <w:b/>
                      <w:bCs/>
                      <w:lang w:val="en-US"/>
                    </w:rPr>
                    <w:t xml:space="preserve">Points </w:t>
                  </w:r>
                </w:p>
              </w:tc>
              <w:tc>
                <w:tcPr>
                  <w:tcW w:w="4369"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jc w:val="center"/>
                    <w:rPr>
                      <w:rFonts w:ascii="Sylfaen" w:hAnsi="Sylfaen" w:cs="Sylfaen"/>
                      <w:b/>
                      <w:bCs/>
                      <w:lang w:val="en-US"/>
                    </w:rPr>
                  </w:pPr>
                  <w:r w:rsidRPr="00F77EB6">
                    <w:rPr>
                      <w:rFonts w:ascii="Sylfaen" w:hAnsi="Sylfaen" w:cs="Sylfaen"/>
                      <w:b/>
                      <w:bCs/>
                      <w:lang w:val="en-US"/>
                    </w:rPr>
                    <w:t>Assessement</w:t>
                  </w:r>
                </w:p>
              </w:tc>
            </w:tr>
            <w:tr w:rsidR="00A717A8" w:rsidRPr="00F77EB6">
              <w:tc>
                <w:tcPr>
                  <w:tcW w:w="1818"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ind w:left="720"/>
                    <w:jc w:val="both"/>
                  </w:pPr>
                  <w:r w:rsidRPr="00F77EB6">
                    <w:rPr>
                      <w:lang w:val="en-US"/>
                    </w:rPr>
                    <w:t>91-100</w:t>
                  </w:r>
                </w:p>
              </w:tc>
              <w:tc>
                <w:tcPr>
                  <w:tcW w:w="4369"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ind w:left="360"/>
                    <w:jc w:val="both"/>
                  </w:pPr>
                  <w:r w:rsidRPr="00F77EB6">
                    <w:rPr>
                      <w:lang w:val="en-US"/>
                    </w:rPr>
                    <w:t>( A ) excellent</w:t>
                  </w:r>
                </w:p>
              </w:tc>
            </w:tr>
            <w:tr w:rsidR="00A717A8" w:rsidRPr="00F77EB6">
              <w:tc>
                <w:tcPr>
                  <w:tcW w:w="1818"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ind w:left="720"/>
                    <w:jc w:val="both"/>
                  </w:pPr>
                  <w:r w:rsidRPr="00F77EB6">
                    <w:rPr>
                      <w:lang w:val="en-US"/>
                    </w:rPr>
                    <w:t>81-90</w:t>
                  </w:r>
                </w:p>
              </w:tc>
              <w:tc>
                <w:tcPr>
                  <w:tcW w:w="4369"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ind w:left="360"/>
                    <w:jc w:val="both"/>
                  </w:pPr>
                  <w:r w:rsidRPr="00F77EB6">
                    <w:rPr>
                      <w:lang w:val="en-US"/>
                    </w:rPr>
                    <w:t>( B ) very good</w:t>
                  </w:r>
                </w:p>
              </w:tc>
            </w:tr>
            <w:tr w:rsidR="00A717A8" w:rsidRPr="00F77EB6">
              <w:tc>
                <w:tcPr>
                  <w:tcW w:w="1818"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ind w:left="720"/>
                    <w:jc w:val="both"/>
                  </w:pPr>
                  <w:r w:rsidRPr="00F77EB6">
                    <w:rPr>
                      <w:lang w:val="en-US"/>
                    </w:rPr>
                    <w:t>71-80</w:t>
                  </w:r>
                </w:p>
              </w:tc>
              <w:tc>
                <w:tcPr>
                  <w:tcW w:w="4369"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ind w:left="360"/>
                    <w:jc w:val="both"/>
                  </w:pPr>
                  <w:r w:rsidRPr="00F77EB6">
                    <w:rPr>
                      <w:lang w:val="en-US"/>
                    </w:rPr>
                    <w:t>( C ) good</w:t>
                  </w:r>
                </w:p>
              </w:tc>
            </w:tr>
            <w:tr w:rsidR="00A717A8" w:rsidRPr="00F77EB6">
              <w:trPr>
                <w:trHeight w:val="368"/>
              </w:trPr>
              <w:tc>
                <w:tcPr>
                  <w:tcW w:w="1818"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ind w:left="720"/>
                    <w:jc w:val="both"/>
                  </w:pPr>
                  <w:r w:rsidRPr="00F77EB6">
                    <w:rPr>
                      <w:lang w:val="en-US"/>
                    </w:rPr>
                    <w:t>61-70</w:t>
                  </w:r>
                </w:p>
              </w:tc>
              <w:tc>
                <w:tcPr>
                  <w:tcW w:w="4369"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ind w:left="360"/>
                    <w:jc w:val="both"/>
                  </w:pPr>
                  <w:r w:rsidRPr="00F77EB6">
                    <w:rPr>
                      <w:lang w:val="en-US"/>
                    </w:rPr>
                    <w:t>( D ) satisfactory</w:t>
                  </w:r>
                </w:p>
              </w:tc>
            </w:tr>
            <w:tr w:rsidR="00A717A8" w:rsidRPr="00F77EB6">
              <w:tc>
                <w:tcPr>
                  <w:tcW w:w="1818"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ind w:left="720"/>
                    <w:jc w:val="both"/>
                  </w:pPr>
                  <w:r w:rsidRPr="00F77EB6">
                    <w:rPr>
                      <w:lang w:val="en-US"/>
                    </w:rPr>
                    <w:t>51-60</w:t>
                  </w:r>
                </w:p>
              </w:tc>
              <w:tc>
                <w:tcPr>
                  <w:tcW w:w="4369"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ind w:left="360"/>
                    <w:jc w:val="both"/>
                  </w:pPr>
                  <w:r w:rsidRPr="00F77EB6">
                    <w:rPr>
                      <w:lang w:val="en-US"/>
                    </w:rPr>
                    <w:t>( E ) passing</w:t>
                  </w:r>
                </w:p>
              </w:tc>
            </w:tr>
            <w:tr w:rsidR="00A717A8" w:rsidRPr="004C17CD">
              <w:tc>
                <w:tcPr>
                  <w:tcW w:w="1818"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jc w:val="center"/>
                    <w:rPr>
                      <w:rFonts w:ascii="Sylfaen" w:hAnsi="Sylfaen" w:cs="Sylfaen"/>
                      <w:b/>
                      <w:bCs/>
                      <w:lang w:val="en-US"/>
                    </w:rPr>
                  </w:pPr>
                  <w:r w:rsidRPr="00F77EB6">
                    <w:rPr>
                      <w:rFonts w:ascii="Sylfaen" w:hAnsi="Sylfaen" w:cs="Sylfaen"/>
                      <w:b/>
                      <w:bCs/>
                      <w:lang w:val="en-US"/>
                    </w:rPr>
                    <w:t>41-50</w:t>
                  </w:r>
                </w:p>
              </w:tc>
              <w:tc>
                <w:tcPr>
                  <w:tcW w:w="4369"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jc w:val="both"/>
                    <w:rPr>
                      <w:rFonts w:ascii="AcadNusx" w:hAnsi="AcadNusx" w:cs="AcadNusx"/>
                      <w:lang w:val="ka-GE"/>
                    </w:rPr>
                  </w:pPr>
                  <w:r w:rsidRPr="00F77EB6">
                    <w:rPr>
                      <w:rFonts w:ascii="Sylfaen" w:hAnsi="Sylfaen" w:cs="Sylfaen"/>
                      <w:lang w:val="ka-GE"/>
                    </w:rPr>
                    <w:t xml:space="preserve">       </w:t>
                  </w:r>
                  <w:r w:rsidRPr="00F77EB6">
                    <w:rPr>
                      <w:rFonts w:ascii="Sylfaen" w:hAnsi="Sylfaen" w:cs="Sylfaen"/>
                      <w:b/>
                      <w:bCs/>
                      <w:lang w:val="en-US"/>
                    </w:rPr>
                    <w:t xml:space="preserve">(FX) </w:t>
                  </w:r>
                  <w:r w:rsidRPr="00F77EB6">
                    <w:rPr>
                      <w:lang w:val="en-US"/>
                    </w:rPr>
                    <w:t>failed; student has to work harder to has the right to retake the final exam once</w:t>
                  </w:r>
                </w:p>
              </w:tc>
            </w:tr>
            <w:tr w:rsidR="00A717A8" w:rsidRPr="004C17CD">
              <w:tc>
                <w:tcPr>
                  <w:tcW w:w="1818"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jc w:val="center"/>
                    <w:rPr>
                      <w:rFonts w:ascii="Sylfaen" w:hAnsi="Sylfaen" w:cs="Sylfaen"/>
                      <w:b/>
                      <w:bCs/>
                      <w:lang w:val="en-US"/>
                    </w:rPr>
                  </w:pPr>
                  <w:r w:rsidRPr="00F77EB6">
                    <w:rPr>
                      <w:rFonts w:ascii="Sylfaen" w:hAnsi="Sylfaen" w:cs="Sylfaen"/>
                      <w:b/>
                      <w:bCs/>
                      <w:lang w:val="en-US"/>
                    </w:rPr>
                    <w:t>0-40</w:t>
                  </w:r>
                </w:p>
              </w:tc>
              <w:tc>
                <w:tcPr>
                  <w:tcW w:w="4369" w:type="dxa"/>
                  <w:tcBorders>
                    <w:top w:val="single" w:sz="4" w:space="0" w:color="auto"/>
                    <w:left w:val="single" w:sz="4" w:space="0" w:color="auto"/>
                    <w:bottom w:val="single" w:sz="4" w:space="0" w:color="auto"/>
                    <w:right w:val="single" w:sz="4" w:space="0" w:color="auto"/>
                  </w:tcBorders>
                </w:tcPr>
                <w:p w:rsidR="00A717A8" w:rsidRPr="00F77EB6" w:rsidRDefault="00A717A8" w:rsidP="00802787">
                  <w:pPr>
                    <w:jc w:val="both"/>
                    <w:rPr>
                      <w:lang w:val="en-US"/>
                    </w:rPr>
                  </w:pPr>
                  <w:r w:rsidRPr="00F77EB6">
                    <w:rPr>
                      <w:rFonts w:ascii="AcadNusx" w:hAnsi="AcadNusx" w:cs="AcadNusx"/>
                      <w:lang w:val="en-US"/>
                    </w:rPr>
                    <w:t xml:space="preserve">    </w:t>
                  </w:r>
                  <w:r w:rsidRPr="00F77EB6">
                    <w:rPr>
                      <w:rFonts w:ascii="Sylfaen" w:hAnsi="Sylfaen" w:cs="Sylfaen"/>
                      <w:b/>
                      <w:bCs/>
                      <w:lang w:val="en-US"/>
                    </w:rPr>
                    <w:t xml:space="preserve">(F) </w:t>
                  </w:r>
                  <w:r w:rsidRPr="00F77EB6">
                    <w:rPr>
                      <w:rFonts w:ascii="Sylfaen" w:hAnsi="Sylfaen" w:cs="Sylfaen"/>
                      <w:b/>
                      <w:bCs/>
                      <w:lang w:val="ka-GE"/>
                    </w:rPr>
                    <w:t xml:space="preserve"> </w:t>
                  </w:r>
                  <w:r w:rsidRPr="00F77EB6">
                    <w:rPr>
                      <w:lang w:val="en-US"/>
                    </w:rPr>
                    <w:t>failed; the work done by the student is not sufficient, course has to be retaken.</w:t>
                  </w:r>
                </w:p>
                <w:p w:rsidR="00A717A8" w:rsidRPr="00F77EB6" w:rsidRDefault="00A717A8" w:rsidP="00802787">
                  <w:pPr>
                    <w:rPr>
                      <w:lang w:val="en-US"/>
                    </w:rPr>
                  </w:pPr>
                </w:p>
                <w:p w:rsidR="00A717A8" w:rsidRPr="00F77EB6" w:rsidRDefault="00A717A8" w:rsidP="00802787">
                  <w:pPr>
                    <w:jc w:val="both"/>
                    <w:rPr>
                      <w:rFonts w:ascii="AcadNusx" w:hAnsi="AcadNusx" w:cs="AcadNusx"/>
                      <w:lang w:val="en-US"/>
                    </w:rPr>
                  </w:pPr>
                </w:p>
              </w:tc>
            </w:tr>
          </w:tbl>
          <w:p w:rsidR="00A717A8" w:rsidRPr="00F1043A" w:rsidRDefault="00A717A8" w:rsidP="00A92139">
            <w:pPr>
              <w:pStyle w:val="Default"/>
              <w:rPr>
                <w:rFonts w:cs="Times New Roman"/>
                <w:i/>
                <w:iCs/>
                <w:sz w:val="28"/>
                <w:szCs w:val="28"/>
                <w:lang w:val="ka-GE"/>
              </w:rPr>
            </w:pPr>
            <w:r w:rsidRPr="00F1043A">
              <w:rPr>
                <w:sz w:val="28"/>
                <w:szCs w:val="28"/>
                <w:lang w:val="ka-GE"/>
              </w:rPr>
              <w:t xml:space="preserve">                            </w:t>
            </w:r>
          </w:p>
        </w:tc>
      </w:tr>
    </w:tbl>
    <w:p w:rsidR="00A717A8" w:rsidRPr="0021178F" w:rsidRDefault="00A717A8" w:rsidP="004C17CD">
      <w:pPr>
        <w:jc w:val="right"/>
        <w:rPr>
          <w:rFonts w:ascii="Sylfaen" w:hAnsi="Sylfaen" w:cs="Sylfaen"/>
          <w:b/>
          <w:bCs/>
          <w:i/>
          <w:iCs/>
          <w:sz w:val="28"/>
          <w:szCs w:val="28"/>
          <w:lang w:val="en-US"/>
        </w:rPr>
      </w:pPr>
      <w:r w:rsidRPr="0021178F">
        <w:rPr>
          <w:rFonts w:ascii="Sylfaen" w:hAnsi="Sylfaen" w:cs="Sylfaen"/>
          <w:b/>
          <w:bCs/>
          <w:i/>
          <w:iCs/>
          <w:sz w:val="28"/>
          <w:szCs w:val="28"/>
          <w:lang w:val="en-US"/>
        </w:rPr>
        <w:t xml:space="preserve">Attachment </w:t>
      </w:r>
    </w:p>
    <w:p w:rsidR="00A717A8" w:rsidRPr="0021178F" w:rsidRDefault="00A717A8" w:rsidP="002C5A42">
      <w:pPr>
        <w:jc w:val="right"/>
        <w:rPr>
          <w:rFonts w:ascii="Sylfaen" w:hAnsi="Sylfaen" w:cs="Sylfaen"/>
          <w:b/>
          <w:bCs/>
          <w:i/>
          <w:iCs/>
          <w:sz w:val="28"/>
          <w:szCs w:val="28"/>
          <w:lang w:val="en-US"/>
        </w:rPr>
      </w:pPr>
    </w:p>
    <w:tbl>
      <w:tblPr>
        <w:tblW w:w="97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7652"/>
      </w:tblGrid>
      <w:tr w:rsidR="00A717A8" w:rsidRPr="0021178F">
        <w:tc>
          <w:tcPr>
            <w:tcW w:w="2127" w:type="dxa"/>
          </w:tcPr>
          <w:p w:rsidR="00A717A8" w:rsidRPr="0021178F" w:rsidRDefault="00A717A8" w:rsidP="00A92139">
            <w:pPr>
              <w:jc w:val="center"/>
              <w:rPr>
                <w:rFonts w:ascii="AcadNusx" w:hAnsi="AcadNusx" w:cs="AcadNusx"/>
                <w:b/>
                <w:bCs/>
                <w:sz w:val="28"/>
                <w:szCs w:val="28"/>
                <w:lang w:val="en-US"/>
              </w:rPr>
            </w:pPr>
            <w:r w:rsidRPr="0021178F">
              <w:rPr>
                <w:rFonts w:ascii="Sylfaen" w:hAnsi="Sylfaen" w:cs="Sylfaen"/>
                <w:b/>
                <w:bCs/>
                <w:sz w:val="28"/>
                <w:szCs w:val="28"/>
                <w:lang w:val="en-US"/>
              </w:rPr>
              <w:t>№</w:t>
            </w:r>
          </w:p>
        </w:tc>
        <w:tc>
          <w:tcPr>
            <w:tcW w:w="7652" w:type="dxa"/>
          </w:tcPr>
          <w:p w:rsidR="00A717A8" w:rsidRPr="0021178F" w:rsidRDefault="00A717A8" w:rsidP="00A92139">
            <w:pPr>
              <w:jc w:val="center"/>
              <w:rPr>
                <w:rFonts w:ascii="AcadNusx" w:hAnsi="AcadNusx" w:cs="AcadNusx"/>
                <w:b/>
                <w:bCs/>
                <w:i/>
                <w:iCs/>
                <w:sz w:val="28"/>
                <w:szCs w:val="28"/>
                <w:lang w:val="ka-GE"/>
              </w:rPr>
            </w:pPr>
            <w:r w:rsidRPr="0021178F">
              <w:rPr>
                <w:rFonts w:ascii="Sylfaen" w:hAnsi="Sylfaen" w:cs="Sylfaen"/>
                <w:b/>
                <w:bCs/>
                <w:sz w:val="28"/>
                <w:szCs w:val="28"/>
                <w:lang w:val="en-US"/>
              </w:rPr>
              <w:t>Lectures</w:t>
            </w:r>
          </w:p>
        </w:tc>
      </w:tr>
      <w:tr w:rsidR="00A717A8" w:rsidRPr="00EF22CE">
        <w:tc>
          <w:tcPr>
            <w:tcW w:w="2127" w:type="dxa"/>
          </w:tcPr>
          <w:p w:rsidR="00A717A8" w:rsidRPr="00415D16" w:rsidRDefault="00A717A8" w:rsidP="00ED6AF7">
            <w:pPr>
              <w:jc w:val="center"/>
              <w:rPr>
                <w:rFonts w:ascii="Sylfaen" w:hAnsi="Sylfaen" w:cs="Sylfaen"/>
                <w:lang w:val="en-US"/>
              </w:rPr>
            </w:pPr>
            <w:r w:rsidRPr="00415D16">
              <w:rPr>
                <w:rFonts w:ascii="Sylfaen" w:hAnsi="Sylfaen" w:cs="Sylfaen"/>
                <w:lang w:val="en-US"/>
              </w:rPr>
              <w:t>I-II</w:t>
            </w:r>
          </w:p>
          <w:p w:rsidR="00A717A8" w:rsidRPr="00415D16" w:rsidRDefault="00A717A8" w:rsidP="00ED6AF7">
            <w:pPr>
              <w:jc w:val="center"/>
              <w:rPr>
                <w:rFonts w:ascii="AcadNusx" w:hAnsi="AcadNusx" w:cs="AcadNusx"/>
                <w:lang w:val="en-US"/>
              </w:rPr>
            </w:pPr>
            <w:r w:rsidRPr="00415D16">
              <w:rPr>
                <w:rFonts w:ascii="Sylfaen" w:hAnsi="Sylfaen" w:cs="Sylfaen"/>
                <w:lang w:val="en-US"/>
              </w:rPr>
              <w:t>week</w:t>
            </w:r>
          </w:p>
        </w:tc>
        <w:tc>
          <w:tcPr>
            <w:tcW w:w="7652" w:type="dxa"/>
          </w:tcPr>
          <w:p w:rsidR="00A717A8" w:rsidRPr="00415D16" w:rsidRDefault="00A717A8" w:rsidP="00ED6AF7">
            <w:pPr>
              <w:pStyle w:val="FootnoteText"/>
              <w:spacing w:line="276" w:lineRule="auto"/>
              <w:ind w:left="360"/>
              <w:rPr>
                <w:b/>
                <w:bCs/>
                <w:sz w:val="24"/>
                <w:szCs w:val="24"/>
              </w:rPr>
            </w:pPr>
            <w:r w:rsidRPr="00415D16">
              <w:rPr>
                <w:b/>
                <w:bCs/>
                <w:sz w:val="24"/>
                <w:szCs w:val="24"/>
              </w:rPr>
              <w:t>Lecture – 4 h.</w:t>
            </w:r>
          </w:p>
          <w:p w:rsidR="00A717A8" w:rsidRPr="00415D16" w:rsidRDefault="00A717A8" w:rsidP="00ED6AF7">
            <w:pPr>
              <w:pStyle w:val="FootnoteText"/>
              <w:spacing w:line="276" w:lineRule="auto"/>
              <w:ind w:left="360"/>
              <w:rPr>
                <w:sz w:val="24"/>
                <w:szCs w:val="24"/>
              </w:rPr>
            </w:pPr>
            <w:r w:rsidRPr="00415D16">
              <w:rPr>
                <w:sz w:val="24"/>
                <w:szCs w:val="24"/>
              </w:rPr>
              <w:t>Project management basics; Project Management and strategic planning process</w:t>
            </w:r>
          </w:p>
          <w:p w:rsidR="00A717A8" w:rsidRPr="00415D16" w:rsidRDefault="00A717A8" w:rsidP="00ED6AF7">
            <w:pPr>
              <w:pStyle w:val="FootnoteText"/>
              <w:spacing w:line="276" w:lineRule="auto"/>
              <w:ind w:left="360"/>
              <w:rPr>
                <w:b/>
                <w:bCs/>
                <w:sz w:val="24"/>
                <w:szCs w:val="24"/>
              </w:rPr>
            </w:pPr>
            <w:r w:rsidRPr="00415D16">
              <w:rPr>
                <w:b/>
                <w:bCs/>
                <w:sz w:val="24"/>
                <w:szCs w:val="24"/>
              </w:rPr>
              <w:t>Group work – 2 h.</w:t>
            </w:r>
          </w:p>
        </w:tc>
      </w:tr>
      <w:tr w:rsidR="00A717A8" w:rsidRPr="00EF22CE">
        <w:tc>
          <w:tcPr>
            <w:tcW w:w="2127" w:type="dxa"/>
          </w:tcPr>
          <w:p w:rsidR="00A717A8" w:rsidRPr="00415D16" w:rsidRDefault="00A717A8" w:rsidP="00ED6AF7">
            <w:pPr>
              <w:jc w:val="center"/>
              <w:rPr>
                <w:rFonts w:ascii="AcadNusx" w:hAnsi="AcadNusx" w:cs="AcadNusx"/>
                <w:lang w:val="en-US"/>
              </w:rPr>
            </w:pPr>
            <w:r w:rsidRPr="00415D16">
              <w:rPr>
                <w:rFonts w:ascii="Sylfaen" w:hAnsi="Sylfaen" w:cs="Sylfaen"/>
                <w:lang w:val="en-US"/>
              </w:rPr>
              <w:t>III-IV week</w:t>
            </w:r>
          </w:p>
        </w:tc>
        <w:tc>
          <w:tcPr>
            <w:tcW w:w="7652" w:type="dxa"/>
          </w:tcPr>
          <w:p w:rsidR="00A717A8" w:rsidRPr="00415D16" w:rsidRDefault="00A717A8" w:rsidP="00ED6AF7">
            <w:pPr>
              <w:pStyle w:val="FootnoteText"/>
              <w:spacing w:line="276" w:lineRule="auto"/>
              <w:ind w:left="360"/>
              <w:rPr>
                <w:b/>
                <w:bCs/>
                <w:sz w:val="24"/>
                <w:szCs w:val="24"/>
              </w:rPr>
            </w:pPr>
            <w:r w:rsidRPr="00415D16">
              <w:rPr>
                <w:b/>
                <w:bCs/>
                <w:sz w:val="24"/>
                <w:szCs w:val="24"/>
              </w:rPr>
              <w:t>Lecture – 4 h.</w:t>
            </w:r>
          </w:p>
          <w:p w:rsidR="00A717A8" w:rsidRPr="00415D16" w:rsidRDefault="00A717A8" w:rsidP="00ED6AF7">
            <w:pPr>
              <w:pStyle w:val="FootnoteText"/>
              <w:spacing w:line="276" w:lineRule="auto"/>
              <w:ind w:left="360"/>
              <w:jc w:val="both"/>
              <w:rPr>
                <w:sz w:val="24"/>
                <w:szCs w:val="24"/>
              </w:rPr>
            </w:pPr>
            <w:r w:rsidRPr="00415D16">
              <w:rPr>
                <w:sz w:val="24"/>
                <w:szCs w:val="24"/>
              </w:rPr>
              <w:t xml:space="preserve">Development of project plan (plan structure) </w:t>
            </w:r>
          </w:p>
          <w:p w:rsidR="00A717A8" w:rsidRPr="00415D16" w:rsidRDefault="00A717A8" w:rsidP="00ED6AF7">
            <w:pPr>
              <w:pStyle w:val="FootnoteText"/>
              <w:spacing w:line="276" w:lineRule="auto"/>
              <w:ind w:left="360"/>
              <w:jc w:val="both"/>
              <w:rPr>
                <w:rFonts w:ascii="AcadNusx" w:hAnsi="AcadNusx" w:cs="AcadNusx"/>
                <w:b/>
                <w:bCs/>
                <w:sz w:val="24"/>
                <w:szCs w:val="24"/>
              </w:rPr>
            </w:pPr>
            <w:r w:rsidRPr="00415D16">
              <w:rPr>
                <w:b/>
                <w:bCs/>
                <w:sz w:val="24"/>
                <w:szCs w:val="24"/>
              </w:rPr>
              <w:t>Group work – 2 h.</w:t>
            </w:r>
          </w:p>
        </w:tc>
      </w:tr>
      <w:tr w:rsidR="00A717A8" w:rsidRPr="00EF22CE">
        <w:tc>
          <w:tcPr>
            <w:tcW w:w="2127" w:type="dxa"/>
          </w:tcPr>
          <w:p w:rsidR="00A717A8" w:rsidRPr="00415D16" w:rsidRDefault="00A717A8" w:rsidP="00ED6AF7">
            <w:pPr>
              <w:jc w:val="center"/>
              <w:rPr>
                <w:rFonts w:ascii="AcadNusx" w:hAnsi="AcadNusx" w:cs="AcadNusx"/>
                <w:lang w:val="ka-GE"/>
              </w:rPr>
            </w:pPr>
            <w:r w:rsidRPr="00415D16">
              <w:rPr>
                <w:rFonts w:ascii="Sylfaen" w:hAnsi="Sylfaen" w:cs="Sylfaen"/>
                <w:lang w:val="en-US"/>
              </w:rPr>
              <w:t>IV-V  week</w:t>
            </w:r>
          </w:p>
        </w:tc>
        <w:tc>
          <w:tcPr>
            <w:tcW w:w="7652" w:type="dxa"/>
          </w:tcPr>
          <w:p w:rsidR="00A717A8" w:rsidRPr="00A12CAB" w:rsidRDefault="00A717A8" w:rsidP="00ED6AF7">
            <w:pPr>
              <w:pStyle w:val="FootnoteText"/>
              <w:spacing w:line="276" w:lineRule="auto"/>
              <w:ind w:left="360"/>
              <w:rPr>
                <w:b/>
                <w:bCs/>
                <w:sz w:val="24"/>
                <w:szCs w:val="24"/>
                <w:lang w:val="fr-FR"/>
              </w:rPr>
            </w:pPr>
            <w:r w:rsidRPr="00A12CAB">
              <w:rPr>
                <w:b/>
                <w:bCs/>
                <w:sz w:val="24"/>
                <w:szCs w:val="24"/>
                <w:lang w:val="fr-FR"/>
              </w:rPr>
              <w:t>Lecture – 4 h.</w:t>
            </w:r>
          </w:p>
          <w:p w:rsidR="00A717A8" w:rsidRPr="00A12CAB" w:rsidRDefault="00A717A8" w:rsidP="00ED6AF7">
            <w:pPr>
              <w:pStyle w:val="FootnoteText"/>
              <w:spacing w:line="276" w:lineRule="auto"/>
              <w:ind w:left="360"/>
              <w:rPr>
                <w:sz w:val="24"/>
                <w:szCs w:val="24"/>
                <w:lang w:val="fr-FR"/>
              </w:rPr>
            </w:pPr>
            <w:r w:rsidRPr="00A12CAB">
              <w:rPr>
                <w:sz w:val="24"/>
                <w:szCs w:val="24"/>
                <w:lang w:val="fr-FR"/>
              </w:rPr>
              <w:t>Project definition (plan, objectives, results, etc)</w:t>
            </w:r>
          </w:p>
          <w:p w:rsidR="00A717A8" w:rsidRPr="00415D16" w:rsidRDefault="00A717A8" w:rsidP="00ED6AF7">
            <w:pPr>
              <w:pStyle w:val="FootnoteText"/>
              <w:spacing w:line="276" w:lineRule="auto"/>
              <w:ind w:left="360"/>
              <w:rPr>
                <w:rFonts w:ascii="AcadNusx" w:hAnsi="AcadNusx" w:cs="AcadNusx"/>
                <w:b/>
                <w:bCs/>
                <w:i/>
                <w:iCs/>
                <w:sz w:val="24"/>
                <w:szCs w:val="24"/>
                <w:lang w:val="ka-GE"/>
              </w:rPr>
            </w:pPr>
            <w:r w:rsidRPr="00415D16">
              <w:rPr>
                <w:b/>
                <w:bCs/>
                <w:sz w:val="24"/>
                <w:szCs w:val="24"/>
              </w:rPr>
              <w:t>Group work – 2 h.</w:t>
            </w:r>
          </w:p>
        </w:tc>
      </w:tr>
      <w:tr w:rsidR="00A717A8" w:rsidRPr="00ED6AF7">
        <w:trPr>
          <w:trHeight w:val="727"/>
        </w:trPr>
        <w:tc>
          <w:tcPr>
            <w:tcW w:w="2127" w:type="dxa"/>
          </w:tcPr>
          <w:p w:rsidR="00A717A8" w:rsidRPr="00415D16" w:rsidRDefault="00A717A8" w:rsidP="00ED6AF7">
            <w:pPr>
              <w:jc w:val="center"/>
              <w:rPr>
                <w:rFonts w:ascii="Sylfaen" w:hAnsi="Sylfaen" w:cs="Sylfaen"/>
                <w:lang w:val="en-US"/>
              </w:rPr>
            </w:pPr>
            <w:r w:rsidRPr="00415D16">
              <w:rPr>
                <w:rFonts w:ascii="Sylfaen" w:hAnsi="Sylfaen" w:cs="Sylfaen"/>
                <w:lang w:val="en-US"/>
              </w:rPr>
              <w:t>VI week</w:t>
            </w:r>
          </w:p>
        </w:tc>
        <w:tc>
          <w:tcPr>
            <w:tcW w:w="7652" w:type="dxa"/>
          </w:tcPr>
          <w:p w:rsidR="00A717A8" w:rsidRPr="00415D16" w:rsidRDefault="00A717A8" w:rsidP="00ED6AF7">
            <w:pPr>
              <w:pStyle w:val="FootnoteText"/>
              <w:spacing w:line="276" w:lineRule="auto"/>
              <w:ind w:left="360"/>
              <w:rPr>
                <w:b/>
                <w:bCs/>
                <w:sz w:val="24"/>
                <w:szCs w:val="24"/>
              </w:rPr>
            </w:pPr>
            <w:r w:rsidRPr="00415D16">
              <w:rPr>
                <w:b/>
                <w:bCs/>
                <w:sz w:val="24"/>
                <w:szCs w:val="24"/>
              </w:rPr>
              <w:t>Lecture – 2 h.</w:t>
            </w:r>
          </w:p>
          <w:p w:rsidR="00A717A8" w:rsidRPr="00415D16" w:rsidRDefault="00A717A8" w:rsidP="00ED6AF7">
            <w:pPr>
              <w:pStyle w:val="FootnoteText"/>
              <w:spacing w:line="276" w:lineRule="auto"/>
              <w:ind w:left="360"/>
              <w:rPr>
                <w:sz w:val="24"/>
                <w:szCs w:val="24"/>
              </w:rPr>
            </w:pPr>
            <w:r w:rsidRPr="00415D16">
              <w:rPr>
                <w:sz w:val="24"/>
                <w:szCs w:val="24"/>
              </w:rPr>
              <w:t>Scheduling (scheduling operations, duration of operations, critical way, project plan reduction)</w:t>
            </w:r>
          </w:p>
          <w:p w:rsidR="00A717A8" w:rsidRPr="00415D16" w:rsidRDefault="00A717A8" w:rsidP="00ED6AF7">
            <w:pPr>
              <w:pStyle w:val="FootnoteText"/>
              <w:spacing w:line="276" w:lineRule="auto"/>
              <w:ind w:left="360"/>
              <w:rPr>
                <w:b/>
                <w:bCs/>
                <w:sz w:val="24"/>
                <w:szCs w:val="24"/>
              </w:rPr>
            </w:pPr>
            <w:r w:rsidRPr="00415D16">
              <w:rPr>
                <w:b/>
                <w:bCs/>
                <w:sz w:val="24"/>
                <w:szCs w:val="24"/>
              </w:rPr>
              <w:t>Group work – 1 h.</w:t>
            </w:r>
          </w:p>
        </w:tc>
      </w:tr>
      <w:tr w:rsidR="00A717A8" w:rsidRPr="00EF22CE">
        <w:trPr>
          <w:trHeight w:val="1290"/>
        </w:trPr>
        <w:tc>
          <w:tcPr>
            <w:tcW w:w="2127" w:type="dxa"/>
          </w:tcPr>
          <w:p w:rsidR="00A717A8" w:rsidRPr="00415D16" w:rsidRDefault="00A717A8" w:rsidP="00ED6AF7">
            <w:pPr>
              <w:jc w:val="center"/>
              <w:rPr>
                <w:rFonts w:ascii="AcadNusx" w:hAnsi="AcadNusx" w:cs="AcadNusx"/>
                <w:lang w:val="ka-GE"/>
              </w:rPr>
            </w:pPr>
            <w:r w:rsidRPr="00415D16">
              <w:rPr>
                <w:rFonts w:ascii="Sylfaen" w:hAnsi="Sylfaen" w:cs="Sylfaen"/>
                <w:lang w:val="en-US"/>
              </w:rPr>
              <w:t>VII-IX</w:t>
            </w:r>
            <w:r w:rsidRPr="00415D16">
              <w:rPr>
                <w:rFonts w:ascii="Sylfaen" w:hAnsi="Sylfaen" w:cs="Sylfaen"/>
                <w:lang w:val="ka-GE"/>
              </w:rPr>
              <w:t xml:space="preserve"> </w:t>
            </w:r>
            <w:r w:rsidRPr="00415D16">
              <w:rPr>
                <w:rFonts w:ascii="Sylfaen" w:hAnsi="Sylfaen" w:cs="Sylfaen"/>
                <w:lang w:val="en-US"/>
              </w:rPr>
              <w:t>week</w:t>
            </w:r>
          </w:p>
        </w:tc>
        <w:tc>
          <w:tcPr>
            <w:tcW w:w="7652" w:type="dxa"/>
          </w:tcPr>
          <w:p w:rsidR="00A717A8" w:rsidRPr="00415D16" w:rsidRDefault="00A717A8" w:rsidP="00ED6AF7">
            <w:pPr>
              <w:pStyle w:val="FootnoteText"/>
              <w:spacing w:line="276" w:lineRule="auto"/>
              <w:ind w:left="360"/>
              <w:rPr>
                <w:b/>
                <w:bCs/>
                <w:sz w:val="24"/>
                <w:szCs w:val="24"/>
              </w:rPr>
            </w:pPr>
            <w:r w:rsidRPr="00415D16">
              <w:rPr>
                <w:b/>
                <w:bCs/>
                <w:sz w:val="24"/>
                <w:szCs w:val="24"/>
              </w:rPr>
              <w:t>Lecture – 4 h.</w:t>
            </w:r>
          </w:p>
          <w:p w:rsidR="00A717A8" w:rsidRPr="00415D16" w:rsidRDefault="00A717A8" w:rsidP="00ED6AF7">
            <w:pPr>
              <w:pStyle w:val="FootnoteText"/>
              <w:spacing w:line="276" w:lineRule="auto"/>
              <w:ind w:left="360"/>
              <w:rPr>
                <w:sz w:val="24"/>
                <w:szCs w:val="24"/>
              </w:rPr>
            </w:pPr>
            <w:r w:rsidRPr="00415D16">
              <w:rPr>
                <w:sz w:val="24"/>
                <w:szCs w:val="24"/>
              </w:rPr>
              <w:t xml:space="preserve">Resources management  (forming of the project team, number of specialists for the implementation of the project, reduction of specialists number, arranging trainings for staff </w:t>
            </w:r>
          </w:p>
          <w:p w:rsidR="00A717A8" w:rsidRPr="00415D16" w:rsidRDefault="00A717A8" w:rsidP="00ED6AF7">
            <w:pPr>
              <w:pStyle w:val="FootnoteText"/>
              <w:spacing w:line="276" w:lineRule="auto"/>
              <w:ind w:left="360"/>
              <w:rPr>
                <w:b/>
                <w:bCs/>
                <w:sz w:val="24"/>
                <w:szCs w:val="24"/>
              </w:rPr>
            </w:pPr>
            <w:r w:rsidRPr="00415D16">
              <w:rPr>
                <w:b/>
                <w:bCs/>
                <w:sz w:val="24"/>
                <w:szCs w:val="24"/>
              </w:rPr>
              <w:t>Group work – 2 h.</w:t>
            </w:r>
          </w:p>
        </w:tc>
      </w:tr>
      <w:tr w:rsidR="00A717A8" w:rsidRPr="00EF22CE">
        <w:trPr>
          <w:trHeight w:val="365"/>
        </w:trPr>
        <w:tc>
          <w:tcPr>
            <w:tcW w:w="2127" w:type="dxa"/>
          </w:tcPr>
          <w:p w:rsidR="00A717A8" w:rsidRPr="00415D16" w:rsidRDefault="00A717A8" w:rsidP="00ED6AF7">
            <w:pPr>
              <w:jc w:val="center"/>
              <w:rPr>
                <w:rFonts w:ascii="Sylfaen" w:hAnsi="Sylfaen" w:cs="Sylfaen"/>
                <w:lang w:val="en-US"/>
              </w:rPr>
            </w:pPr>
            <w:r w:rsidRPr="00415D16">
              <w:rPr>
                <w:rFonts w:ascii="Sylfaen" w:hAnsi="Sylfaen" w:cs="Sylfaen"/>
                <w:lang w:val="en-US"/>
              </w:rPr>
              <w:t>X - XI</w:t>
            </w:r>
            <w:r w:rsidRPr="00415D16">
              <w:rPr>
                <w:rFonts w:ascii="Sylfaen" w:hAnsi="Sylfaen" w:cs="Sylfaen"/>
                <w:lang w:val="ka-GE"/>
              </w:rPr>
              <w:t xml:space="preserve"> </w:t>
            </w:r>
            <w:r w:rsidRPr="00415D16">
              <w:rPr>
                <w:rFonts w:ascii="Sylfaen" w:hAnsi="Sylfaen" w:cs="Sylfaen"/>
                <w:lang w:val="en-US"/>
              </w:rPr>
              <w:t>week</w:t>
            </w:r>
          </w:p>
        </w:tc>
        <w:tc>
          <w:tcPr>
            <w:tcW w:w="7652" w:type="dxa"/>
          </w:tcPr>
          <w:p w:rsidR="00A717A8" w:rsidRPr="00415D16" w:rsidRDefault="00A717A8" w:rsidP="00ED6AF7">
            <w:pPr>
              <w:pStyle w:val="FootnoteText"/>
              <w:spacing w:line="276" w:lineRule="auto"/>
              <w:ind w:left="360"/>
              <w:rPr>
                <w:b/>
                <w:bCs/>
                <w:sz w:val="24"/>
                <w:szCs w:val="24"/>
              </w:rPr>
            </w:pPr>
            <w:r w:rsidRPr="00415D16">
              <w:rPr>
                <w:b/>
                <w:bCs/>
                <w:sz w:val="24"/>
                <w:szCs w:val="24"/>
              </w:rPr>
              <w:t>Lecture – 4 h.</w:t>
            </w:r>
          </w:p>
          <w:p w:rsidR="00A717A8" w:rsidRPr="00415D16" w:rsidRDefault="00A717A8" w:rsidP="00ED6AF7">
            <w:pPr>
              <w:spacing w:line="276" w:lineRule="auto"/>
              <w:ind w:left="360"/>
              <w:jc w:val="both"/>
              <w:rPr>
                <w:lang w:val="en-US"/>
              </w:rPr>
            </w:pPr>
            <w:r w:rsidRPr="00415D16">
              <w:rPr>
                <w:lang w:val="en-US"/>
              </w:rPr>
              <w:t>Risk management (risk identification, risk events matrix, risk management strategy)</w:t>
            </w:r>
          </w:p>
          <w:p w:rsidR="00A717A8" w:rsidRPr="00415D16" w:rsidRDefault="00A717A8" w:rsidP="00ED6AF7">
            <w:pPr>
              <w:spacing w:line="276" w:lineRule="auto"/>
              <w:ind w:left="360"/>
              <w:jc w:val="both"/>
              <w:rPr>
                <w:b/>
                <w:bCs/>
                <w:lang w:val="en-US"/>
              </w:rPr>
            </w:pPr>
            <w:r w:rsidRPr="00415D16">
              <w:rPr>
                <w:b/>
                <w:bCs/>
              </w:rPr>
              <w:t>Group work – 2 h.</w:t>
            </w:r>
          </w:p>
        </w:tc>
      </w:tr>
      <w:tr w:rsidR="00A717A8" w:rsidRPr="00F1043A">
        <w:trPr>
          <w:trHeight w:val="495"/>
        </w:trPr>
        <w:tc>
          <w:tcPr>
            <w:tcW w:w="2127" w:type="dxa"/>
          </w:tcPr>
          <w:p w:rsidR="00A717A8" w:rsidRPr="00415D16" w:rsidRDefault="00A717A8" w:rsidP="00ED6AF7">
            <w:pPr>
              <w:jc w:val="center"/>
              <w:rPr>
                <w:rFonts w:ascii="Sylfaen" w:hAnsi="Sylfaen" w:cs="Sylfaen"/>
                <w:lang w:val="ka-GE"/>
              </w:rPr>
            </w:pPr>
            <w:r w:rsidRPr="00415D16">
              <w:rPr>
                <w:rFonts w:ascii="Sylfaen" w:hAnsi="Sylfaen" w:cs="Sylfaen"/>
                <w:lang w:val="en-US"/>
              </w:rPr>
              <w:t>XII</w:t>
            </w:r>
          </w:p>
          <w:p w:rsidR="00A717A8" w:rsidRPr="00415D16" w:rsidRDefault="00A717A8" w:rsidP="00ED6AF7">
            <w:pPr>
              <w:jc w:val="center"/>
              <w:rPr>
                <w:rFonts w:ascii="Sylfaen" w:hAnsi="Sylfaen" w:cs="Sylfaen"/>
                <w:lang w:val="en-US"/>
              </w:rPr>
            </w:pPr>
            <w:r w:rsidRPr="00415D16">
              <w:rPr>
                <w:rFonts w:ascii="Sylfaen" w:hAnsi="Sylfaen" w:cs="Sylfaen"/>
                <w:lang w:val="en-US"/>
              </w:rPr>
              <w:t>week</w:t>
            </w:r>
          </w:p>
        </w:tc>
        <w:tc>
          <w:tcPr>
            <w:tcW w:w="7652" w:type="dxa"/>
          </w:tcPr>
          <w:p w:rsidR="00A717A8" w:rsidRPr="00415D16" w:rsidRDefault="00A717A8" w:rsidP="00ED6AF7">
            <w:pPr>
              <w:spacing w:line="276" w:lineRule="auto"/>
              <w:ind w:left="360"/>
              <w:jc w:val="both"/>
              <w:rPr>
                <w:b/>
                <w:bCs/>
                <w:lang w:val="en-US"/>
              </w:rPr>
            </w:pPr>
            <w:r w:rsidRPr="00415D16">
              <w:rPr>
                <w:rFonts w:ascii="Sylfaen" w:hAnsi="Sylfaen" w:cs="Sylfaen"/>
                <w:b/>
                <w:bCs/>
                <w:lang w:val="en-US"/>
              </w:rPr>
              <w:t>Midterm exam</w:t>
            </w:r>
            <w:r w:rsidRPr="00415D16">
              <w:rPr>
                <w:rFonts w:ascii="Sylfaen" w:hAnsi="Sylfaen" w:cs="Sylfaen"/>
                <w:b/>
                <w:bCs/>
                <w:lang w:val="ka-GE"/>
              </w:rPr>
              <w:t xml:space="preserve"> </w:t>
            </w:r>
            <w:r w:rsidRPr="00415D16">
              <w:rPr>
                <w:rFonts w:ascii="Sylfaen" w:hAnsi="Sylfaen" w:cs="Sylfaen"/>
                <w:b/>
                <w:bCs/>
                <w:lang w:val="en-US"/>
              </w:rPr>
              <w:t xml:space="preserve">- 1 </w:t>
            </w:r>
            <w:r w:rsidRPr="00415D16">
              <w:rPr>
                <w:rFonts w:ascii="Sylfaen" w:hAnsi="Sylfaen" w:cs="Sylfaen"/>
                <w:b/>
                <w:bCs/>
                <w:lang w:val="ka-GE"/>
              </w:rPr>
              <w:t>h</w:t>
            </w:r>
            <w:r w:rsidRPr="00415D16">
              <w:rPr>
                <w:rFonts w:ascii="Sylfaen" w:hAnsi="Sylfaen" w:cs="Sylfaen"/>
                <w:b/>
                <w:bCs/>
                <w:lang w:val="en-US"/>
              </w:rPr>
              <w:t>.</w:t>
            </w:r>
          </w:p>
        </w:tc>
      </w:tr>
      <w:tr w:rsidR="00A717A8" w:rsidRPr="004C17CD">
        <w:tc>
          <w:tcPr>
            <w:tcW w:w="2127" w:type="dxa"/>
          </w:tcPr>
          <w:p w:rsidR="00A717A8" w:rsidRPr="00415D16" w:rsidRDefault="00A717A8" w:rsidP="00ED6AF7">
            <w:pPr>
              <w:jc w:val="center"/>
              <w:rPr>
                <w:rFonts w:ascii="AcadNusx" w:hAnsi="AcadNusx" w:cs="AcadNusx"/>
                <w:lang w:val="en-US"/>
              </w:rPr>
            </w:pPr>
            <w:r w:rsidRPr="00415D16">
              <w:rPr>
                <w:rFonts w:ascii="AcadNusx" w:hAnsi="AcadNusx" w:cs="AcadNusx"/>
                <w:lang w:val="en-US"/>
              </w:rPr>
              <w:t>XIII-XIV</w:t>
            </w:r>
            <w:r w:rsidRPr="00415D16">
              <w:rPr>
                <w:rFonts w:ascii="Sylfaen" w:hAnsi="Sylfaen" w:cs="Sylfaen"/>
                <w:lang w:val="en-US"/>
              </w:rPr>
              <w:t xml:space="preserve"> week</w:t>
            </w:r>
          </w:p>
        </w:tc>
        <w:tc>
          <w:tcPr>
            <w:tcW w:w="7652" w:type="dxa"/>
          </w:tcPr>
          <w:p w:rsidR="00A717A8" w:rsidRPr="00415D16" w:rsidRDefault="00A717A8" w:rsidP="00ED6AF7">
            <w:pPr>
              <w:pStyle w:val="FootnoteText"/>
              <w:spacing w:line="276" w:lineRule="auto"/>
              <w:ind w:left="360"/>
              <w:rPr>
                <w:b/>
                <w:bCs/>
                <w:sz w:val="24"/>
                <w:szCs w:val="24"/>
              </w:rPr>
            </w:pPr>
            <w:r w:rsidRPr="00415D16">
              <w:rPr>
                <w:b/>
                <w:bCs/>
                <w:sz w:val="24"/>
                <w:szCs w:val="24"/>
              </w:rPr>
              <w:t>Lecture – 4 h.</w:t>
            </w:r>
          </w:p>
          <w:p w:rsidR="00A717A8" w:rsidRPr="00415D16" w:rsidRDefault="00A717A8" w:rsidP="00ED6AF7">
            <w:pPr>
              <w:spacing w:line="276" w:lineRule="auto"/>
              <w:ind w:left="360"/>
              <w:jc w:val="both"/>
              <w:rPr>
                <w:lang w:val="en-US"/>
              </w:rPr>
            </w:pPr>
            <w:r w:rsidRPr="00415D16">
              <w:rPr>
                <w:lang w:val="en-US"/>
              </w:rPr>
              <w:t>Budget and costs of the project</w:t>
            </w:r>
          </w:p>
          <w:p w:rsidR="00A717A8" w:rsidRPr="00415D16" w:rsidRDefault="00A717A8" w:rsidP="00ED6AF7">
            <w:pPr>
              <w:spacing w:line="276" w:lineRule="auto"/>
              <w:ind w:left="360"/>
              <w:jc w:val="both"/>
              <w:rPr>
                <w:lang w:val="en-US"/>
              </w:rPr>
            </w:pPr>
            <w:r w:rsidRPr="00415D16">
              <w:rPr>
                <w:lang w:val="en-US"/>
              </w:rPr>
              <w:t xml:space="preserve">Project monitoring </w:t>
            </w:r>
          </w:p>
          <w:p w:rsidR="00A717A8" w:rsidRPr="00415D16" w:rsidRDefault="00A717A8" w:rsidP="00ED6AF7">
            <w:pPr>
              <w:spacing w:line="276" w:lineRule="auto"/>
              <w:ind w:left="360"/>
              <w:jc w:val="both"/>
              <w:rPr>
                <w:b/>
                <w:bCs/>
                <w:lang w:val="en-US"/>
              </w:rPr>
            </w:pPr>
            <w:r w:rsidRPr="00415D16">
              <w:rPr>
                <w:b/>
                <w:bCs/>
                <w:lang w:val="en-US"/>
              </w:rPr>
              <w:t>Group work – 2 h.</w:t>
            </w:r>
          </w:p>
        </w:tc>
      </w:tr>
      <w:tr w:rsidR="00A717A8" w:rsidRPr="004C17CD">
        <w:tc>
          <w:tcPr>
            <w:tcW w:w="2127" w:type="dxa"/>
          </w:tcPr>
          <w:p w:rsidR="00A717A8" w:rsidRPr="00415D16" w:rsidRDefault="00A717A8" w:rsidP="00ED6AF7">
            <w:pPr>
              <w:jc w:val="center"/>
              <w:rPr>
                <w:rFonts w:ascii="AcadNusx" w:hAnsi="AcadNusx" w:cs="AcadNusx"/>
                <w:lang w:val="en-US"/>
              </w:rPr>
            </w:pPr>
            <w:r w:rsidRPr="00415D16">
              <w:rPr>
                <w:rFonts w:ascii="AcadNusx" w:hAnsi="AcadNusx" w:cs="AcadNusx"/>
                <w:lang w:val="en-US"/>
              </w:rPr>
              <w:t>XV-XVI</w:t>
            </w:r>
          </w:p>
          <w:p w:rsidR="00A717A8" w:rsidRPr="00415D16" w:rsidRDefault="00A717A8" w:rsidP="00ED6AF7">
            <w:pPr>
              <w:jc w:val="center"/>
              <w:rPr>
                <w:rFonts w:ascii="AcadNusx" w:hAnsi="AcadNusx" w:cs="AcadNusx"/>
                <w:lang w:val="en-US"/>
              </w:rPr>
            </w:pPr>
            <w:r w:rsidRPr="00415D16">
              <w:rPr>
                <w:rFonts w:ascii="Sylfaen" w:hAnsi="Sylfaen" w:cs="Sylfaen"/>
                <w:lang w:val="en-US"/>
              </w:rPr>
              <w:t>week</w:t>
            </w:r>
          </w:p>
        </w:tc>
        <w:tc>
          <w:tcPr>
            <w:tcW w:w="7652" w:type="dxa"/>
            <w:vAlign w:val="center"/>
          </w:tcPr>
          <w:p w:rsidR="00A717A8" w:rsidRPr="00415D16" w:rsidRDefault="00A717A8" w:rsidP="00ED6AF7">
            <w:pPr>
              <w:pStyle w:val="FootnoteText"/>
              <w:spacing w:line="276" w:lineRule="auto"/>
              <w:ind w:left="360"/>
              <w:rPr>
                <w:b/>
                <w:bCs/>
                <w:sz w:val="24"/>
                <w:szCs w:val="24"/>
              </w:rPr>
            </w:pPr>
            <w:r w:rsidRPr="00415D16">
              <w:rPr>
                <w:b/>
                <w:bCs/>
                <w:sz w:val="24"/>
                <w:szCs w:val="24"/>
              </w:rPr>
              <w:t>Lecture – 4 h.</w:t>
            </w:r>
          </w:p>
          <w:p w:rsidR="00A717A8" w:rsidRPr="00415D16" w:rsidRDefault="00A717A8" w:rsidP="00ED6AF7">
            <w:pPr>
              <w:pStyle w:val="FootnoteText"/>
              <w:spacing w:line="276" w:lineRule="auto"/>
              <w:ind w:left="360"/>
              <w:jc w:val="both"/>
              <w:rPr>
                <w:sz w:val="24"/>
                <w:szCs w:val="24"/>
              </w:rPr>
            </w:pPr>
            <w:r w:rsidRPr="00415D16">
              <w:rPr>
                <w:sz w:val="24"/>
                <w:szCs w:val="24"/>
              </w:rPr>
              <w:t>Project control</w:t>
            </w:r>
          </w:p>
          <w:p w:rsidR="00A717A8" w:rsidRPr="00415D16" w:rsidRDefault="00A717A8" w:rsidP="00ED6AF7">
            <w:pPr>
              <w:pStyle w:val="FootnoteText"/>
              <w:spacing w:line="276" w:lineRule="auto"/>
              <w:ind w:left="360"/>
              <w:jc w:val="both"/>
              <w:rPr>
                <w:rFonts w:ascii="AcadNusx" w:hAnsi="AcadNusx" w:cs="AcadNusx"/>
                <w:b/>
                <w:bCs/>
                <w:sz w:val="24"/>
                <w:szCs w:val="24"/>
                <w:lang w:val="ka-GE"/>
              </w:rPr>
            </w:pPr>
            <w:r w:rsidRPr="00415D16">
              <w:rPr>
                <w:b/>
                <w:bCs/>
                <w:sz w:val="24"/>
                <w:szCs w:val="24"/>
              </w:rPr>
              <w:t>Group work – 2 h.</w:t>
            </w:r>
          </w:p>
        </w:tc>
      </w:tr>
      <w:tr w:rsidR="00A717A8" w:rsidRPr="00EF22CE">
        <w:tc>
          <w:tcPr>
            <w:tcW w:w="2127" w:type="dxa"/>
          </w:tcPr>
          <w:p w:rsidR="00A717A8" w:rsidRPr="00415D16" w:rsidRDefault="00A717A8" w:rsidP="00ED6AF7">
            <w:pPr>
              <w:jc w:val="center"/>
              <w:rPr>
                <w:rFonts w:ascii="AcadNusx" w:hAnsi="AcadNusx" w:cs="AcadNusx"/>
                <w:lang w:val="en-US"/>
              </w:rPr>
            </w:pPr>
            <w:r w:rsidRPr="00415D16">
              <w:rPr>
                <w:rFonts w:ascii="Sylfaen" w:hAnsi="Sylfaen" w:cs="Sylfaen"/>
                <w:lang w:val="en-US"/>
              </w:rPr>
              <w:t>XVII</w:t>
            </w:r>
            <w:r w:rsidRPr="00415D16">
              <w:rPr>
                <w:rFonts w:ascii="Sylfaen" w:hAnsi="Sylfaen" w:cs="Sylfaen"/>
                <w:lang w:val="ka-GE"/>
              </w:rPr>
              <w:t xml:space="preserve"> </w:t>
            </w:r>
            <w:r w:rsidRPr="00415D16">
              <w:rPr>
                <w:rFonts w:ascii="Sylfaen" w:hAnsi="Sylfaen" w:cs="Sylfaen"/>
                <w:lang w:val="en-US"/>
              </w:rPr>
              <w:t>week</w:t>
            </w:r>
          </w:p>
        </w:tc>
        <w:tc>
          <w:tcPr>
            <w:tcW w:w="7652" w:type="dxa"/>
            <w:vAlign w:val="center"/>
          </w:tcPr>
          <w:p w:rsidR="00A717A8" w:rsidRPr="00415D16" w:rsidRDefault="00A717A8" w:rsidP="00ED6AF7">
            <w:pPr>
              <w:pStyle w:val="Default"/>
              <w:spacing w:line="276" w:lineRule="auto"/>
              <w:ind w:left="360"/>
              <w:rPr>
                <w:rFonts w:cs="Times New Roman"/>
                <w:lang w:val="en-US"/>
              </w:rPr>
            </w:pPr>
            <w:r w:rsidRPr="00415D16">
              <w:rPr>
                <w:b/>
                <w:bCs/>
                <w:lang w:val="en-US"/>
              </w:rPr>
              <w:t>Midterm review – 2 h.</w:t>
            </w:r>
          </w:p>
        </w:tc>
      </w:tr>
      <w:tr w:rsidR="00A717A8" w:rsidRPr="004C17CD">
        <w:tc>
          <w:tcPr>
            <w:tcW w:w="2127" w:type="dxa"/>
          </w:tcPr>
          <w:p w:rsidR="00A717A8" w:rsidRPr="00415D16" w:rsidRDefault="00A717A8" w:rsidP="00ED6AF7">
            <w:pPr>
              <w:jc w:val="center"/>
              <w:rPr>
                <w:rFonts w:ascii="Sylfaen" w:hAnsi="Sylfaen" w:cs="Sylfaen"/>
                <w:lang w:val="en-US"/>
              </w:rPr>
            </w:pPr>
            <w:r w:rsidRPr="00415D16">
              <w:rPr>
                <w:rFonts w:ascii="Sylfaen" w:hAnsi="Sylfaen" w:cs="Sylfaen"/>
                <w:lang w:val="en-US"/>
              </w:rPr>
              <w:t>XVIII - XX  week</w:t>
            </w:r>
          </w:p>
        </w:tc>
        <w:tc>
          <w:tcPr>
            <w:tcW w:w="7652" w:type="dxa"/>
            <w:vAlign w:val="center"/>
          </w:tcPr>
          <w:p w:rsidR="00A717A8" w:rsidRPr="00415D16" w:rsidRDefault="00A717A8" w:rsidP="00ED6AF7">
            <w:pPr>
              <w:pStyle w:val="Default"/>
              <w:spacing w:after="240"/>
              <w:ind w:left="360"/>
              <w:rPr>
                <w:lang w:val="en-US"/>
              </w:rPr>
            </w:pPr>
            <w:r w:rsidRPr="00415D16">
              <w:rPr>
                <w:b/>
                <w:bCs/>
                <w:lang w:val="en-US"/>
              </w:rPr>
              <w:t>Final exam and  re-examination</w:t>
            </w:r>
            <w:r w:rsidRPr="00415D16">
              <w:rPr>
                <w:lang w:val="en-US"/>
              </w:rPr>
              <w:t xml:space="preserve"> (if necessary) </w:t>
            </w:r>
          </w:p>
        </w:tc>
      </w:tr>
    </w:tbl>
    <w:p w:rsidR="00A717A8" w:rsidRPr="00F1043A" w:rsidRDefault="00A717A8" w:rsidP="00ED6AF7">
      <w:pPr>
        <w:spacing w:after="240"/>
        <w:jc w:val="right"/>
        <w:rPr>
          <w:rFonts w:ascii="Sylfaen" w:hAnsi="Sylfaen" w:cs="Sylfaen"/>
          <w:b/>
          <w:bCs/>
          <w:i/>
          <w:iCs/>
          <w:sz w:val="28"/>
          <w:szCs w:val="28"/>
          <w:lang w:val="en-US"/>
        </w:rPr>
      </w:pPr>
    </w:p>
    <w:p w:rsidR="00A717A8" w:rsidRPr="00F1043A" w:rsidRDefault="00A717A8" w:rsidP="002C5A42">
      <w:pPr>
        <w:jc w:val="right"/>
        <w:rPr>
          <w:rFonts w:ascii="Sylfaen" w:hAnsi="Sylfaen" w:cs="Sylfaen"/>
          <w:b/>
          <w:bCs/>
          <w:i/>
          <w:iCs/>
          <w:sz w:val="28"/>
          <w:szCs w:val="28"/>
          <w:lang w:val="en-US"/>
        </w:rPr>
      </w:pPr>
    </w:p>
    <w:p w:rsidR="00A717A8" w:rsidRPr="00F1043A" w:rsidRDefault="00A717A8" w:rsidP="002C5A42">
      <w:pPr>
        <w:jc w:val="center"/>
        <w:rPr>
          <w:rFonts w:ascii="Sylfaen" w:hAnsi="Sylfaen" w:cs="Sylfaen"/>
          <w:sz w:val="28"/>
          <w:szCs w:val="28"/>
          <w:lang w:val="en-US"/>
        </w:rPr>
      </w:pPr>
    </w:p>
    <w:p w:rsidR="00A717A8" w:rsidRPr="00F1043A" w:rsidRDefault="00A717A8" w:rsidP="002C5A42">
      <w:pPr>
        <w:pStyle w:val="Default"/>
        <w:jc w:val="center"/>
        <w:rPr>
          <w:rFonts w:cs="Times New Roman"/>
          <w:sz w:val="28"/>
          <w:szCs w:val="28"/>
          <w:lang w:val="ka-GE"/>
        </w:rPr>
      </w:pPr>
    </w:p>
    <w:p w:rsidR="00A717A8" w:rsidRPr="00F1043A" w:rsidRDefault="00A717A8" w:rsidP="002C5A42">
      <w:pPr>
        <w:pStyle w:val="Default"/>
        <w:jc w:val="center"/>
        <w:rPr>
          <w:rFonts w:cs="Times New Roman"/>
          <w:sz w:val="28"/>
          <w:szCs w:val="28"/>
          <w:lang w:val="en-US"/>
        </w:rPr>
      </w:pPr>
    </w:p>
    <w:p w:rsidR="00A717A8" w:rsidRPr="00EF22CE" w:rsidRDefault="00A717A8">
      <w:pPr>
        <w:rPr>
          <w:lang w:val="en-US"/>
        </w:rPr>
      </w:pPr>
    </w:p>
    <w:sectPr w:rsidR="00A717A8" w:rsidRPr="00EF22CE" w:rsidSect="00EE1078">
      <w:pgSz w:w="11906" w:h="16838"/>
      <w:pgMar w:top="900"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cadNusx">
    <w:panose1 w:val="00000000000000000000"/>
    <w:charset w:val="00"/>
    <w:family w:val="auto"/>
    <w:pitch w:val="variable"/>
    <w:sig w:usb0="00000287" w:usb1="00000000" w:usb2="00000000" w:usb3="00000000" w:csb0="0000001F" w:csb1="00000000"/>
  </w:font>
  <w:font w:name="Lit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5C7D"/>
    <w:multiLevelType w:val="hybridMultilevel"/>
    <w:tmpl w:val="BF00F540"/>
    <w:lvl w:ilvl="0" w:tplc="04090001">
      <w:start w:val="1"/>
      <w:numFmt w:val="bullet"/>
      <w:lvlText w:val=""/>
      <w:lvlJc w:val="left"/>
      <w:pPr>
        <w:ind w:left="810" w:hanging="360"/>
      </w:pPr>
      <w:rPr>
        <w:rFonts w:ascii="Symbol" w:hAnsi="Symbol" w:cs="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
    <w:nsid w:val="01E6017D"/>
    <w:multiLevelType w:val="hybridMultilevel"/>
    <w:tmpl w:val="E2BCC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A2221A"/>
    <w:multiLevelType w:val="hybridMultilevel"/>
    <w:tmpl w:val="E5101C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537086F"/>
    <w:multiLevelType w:val="hybridMultilevel"/>
    <w:tmpl w:val="591E63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88A77CB"/>
    <w:multiLevelType w:val="hybridMultilevel"/>
    <w:tmpl w:val="EFB0CE2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2CA3354D"/>
    <w:multiLevelType w:val="hybridMultilevel"/>
    <w:tmpl w:val="EC8650A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A7D7D0F"/>
    <w:multiLevelType w:val="hybridMultilevel"/>
    <w:tmpl w:val="E808F6FE"/>
    <w:lvl w:ilvl="0" w:tplc="527A70C6">
      <w:start w:val="1"/>
      <w:numFmt w:val="upperLetter"/>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5D96539"/>
    <w:multiLevelType w:val="hybridMultilevel"/>
    <w:tmpl w:val="0E22A3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6C81EE1"/>
    <w:multiLevelType w:val="hybridMultilevel"/>
    <w:tmpl w:val="489613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4C2E53F7"/>
    <w:multiLevelType w:val="hybridMultilevel"/>
    <w:tmpl w:val="D15EA6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4FB05442"/>
    <w:multiLevelType w:val="hybridMultilevel"/>
    <w:tmpl w:val="5BF438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23E4DD9"/>
    <w:multiLevelType w:val="hybridMultilevel"/>
    <w:tmpl w:val="3250AA38"/>
    <w:lvl w:ilvl="0" w:tplc="C774405C">
      <w:start w:val="1"/>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7A92C89"/>
    <w:multiLevelType w:val="hybridMultilevel"/>
    <w:tmpl w:val="6E6ED048"/>
    <w:lvl w:ilvl="0" w:tplc="040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93B65F6"/>
    <w:multiLevelType w:val="hybridMultilevel"/>
    <w:tmpl w:val="86F04806"/>
    <w:lvl w:ilvl="0" w:tplc="7A8E2818">
      <w:start w:val="5"/>
      <w:numFmt w:val="bullet"/>
      <w:lvlText w:val="-"/>
      <w:lvlJc w:val="left"/>
      <w:pPr>
        <w:ind w:left="420" w:hanging="360"/>
      </w:pPr>
      <w:rPr>
        <w:rFonts w:ascii="Sylfaen" w:eastAsia="Times New Roman" w:hAnsi="Sylfae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cs="Wingdings" w:hint="default"/>
      </w:rPr>
    </w:lvl>
    <w:lvl w:ilvl="3" w:tplc="04090001">
      <w:start w:val="1"/>
      <w:numFmt w:val="bullet"/>
      <w:lvlText w:val=""/>
      <w:lvlJc w:val="left"/>
      <w:pPr>
        <w:ind w:left="2580" w:hanging="360"/>
      </w:pPr>
      <w:rPr>
        <w:rFonts w:ascii="Symbol" w:hAnsi="Symbol" w:cs="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cs="Wingdings" w:hint="default"/>
      </w:rPr>
    </w:lvl>
    <w:lvl w:ilvl="6" w:tplc="04090001">
      <w:start w:val="1"/>
      <w:numFmt w:val="bullet"/>
      <w:lvlText w:val=""/>
      <w:lvlJc w:val="left"/>
      <w:pPr>
        <w:ind w:left="4740" w:hanging="360"/>
      </w:pPr>
      <w:rPr>
        <w:rFonts w:ascii="Symbol" w:hAnsi="Symbol" w:cs="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cs="Wingdings" w:hint="default"/>
      </w:rPr>
    </w:lvl>
  </w:abstractNum>
  <w:abstractNum w:abstractNumId="14">
    <w:nsid w:val="6417253B"/>
    <w:multiLevelType w:val="hybridMultilevel"/>
    <w:tmpl w:val="D3C4B8DC"/>
    <w:lvl w:ilvl="0" w:tplc="CE1C9CA0">
      <w:numFmt w:val="bullet"/>
      <w:lvlText w:val="-"/>
      <w:lvlJc w:val="left"/>
      <w:pPr>
        <w:ind w:left="720" w:hanging="360"/>
      </w:pPr>
      <w:rPr>
        <w:rFonts w:ascii="Sylfaen" w:eastAsia="Times New Roman" w:hAnsi="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6CFC512A"/>
    <w:multiLevelType w:val="multilevel"/>
    <w:tmpl w:val="8EE0C3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23111E5"/>
    <w:multiLevelType w:val="hybridMultilevel"/>
    <w:tmpl w:val="83BC6C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1"/>
  </w:num>
  <w:num w:numId="3">
    <w:abstractNumId w:val="6"/>
  </w:num>
  <w:num w:numId="4">
    <w:abstractNumId w:val="10"/>
  </w:num>
  <w:num w:numId="5">
    <w:abstractNumId w:val="14"/>
  </w:num>
  <w:num w:numId="6">
    <w:abstractNumId w:val="8"/>
  </w:num>
  <w:num w:numId="7">
    <w:abstractNumId w:val="7"/>
  </w:num>
  <w:num w:numId="8">
    <w:abstractNumId w:val="16"/>
  </w:num>
  <w:num w:numId="9">
    <w:abstractNumId w:val="15"/>
  </w:num>
  <w:num w:numId="10">
    <w:abstractNumId w:val="1"/>
  </w:num>
  <w:num w:numId="11">
    <w:abstractNumId w:val="0"/>
  </w:num>
  <w:num w:numId="12">
    <w:abstractNumId w:val="5"/>
  </w:num>
  <w:num w:numId="13">
    <w:abstractNumId w:val="12"/>
  </w:num>
  <w:num w:numId="14">
    <w:abstractNumId w:val="4"/>
  </w:num>
  <w:num w:numId="15">
    <w:abstractNumId w:val="13"/>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5A42"/>
    <w:rsid w:val="000B1C9A"/>
    <w:rsid w:val="001C7435"/>
    <w:rsid w:val="0021178F"/>
    <w:rsid w:val="00216B6B"/>
    <w:rsid w:val="002C5A42"/>
    <w:rsid w:val="002E5D4E"/>
    <w:rsid w:val="003462C1"/>
    <w:rsid w:val="003A35EB"/>
    <w:rsid w:val="00415D16"/>
    <w:rsid w:val="0045095A"/>
    <w:rsid w:val="00494918"/>
    <w:rsid w:val="004A4D03"/>
    <w:rsid w:val="004C17CD"/>
    <w:rsid w:val="00576910"/>
    <w:rsid w:val="005F0A17"/>
    <w:rsid w:val="005F2460"/>
    <w:rsid w:val="00651DAC"/>
    <w:rsid w:val="0067081C"/>
    <w:rsid w:val="006926F5"/>
    <w:rsid w:val="007226B8"/>
    <w:rsid w:val="007A7ACA"/>
    <w:rsid w:val="00802787"/>
    <w:rsid w:val="00816D2B"/>
    <w:rsid w:val="008404A9"/>
    <w:rsid w:val="00853FBD"/>
    <w:rsid w:val="0094580C"/>
    <w:rsid w:val="00982F51"/>
    <w:rsid w:val="009A13B1"/>
    <w:rsid w:val="00A12CAB"/>
    <w:rsid w:val="00A717A8"/>
    <w:rsid w:val="00A92139"/>
    <w:rsid w:val="00C233EF"/>
    <w:rsid w:val="00C24F87"/>
    <w:rsid w:val="00D2030C"/>
    <w:rsid w:val="00D63679"/>
    <w:rsid w:val="00D66729"/>
    <w:rsid w:val="00E44342"/>
    <w:rsid w:val="00ED6AF7"/>
    <w:rsid w:val="00EE1078"/>
    <w:rsid w:val="00EF0661"/>
    <w:rsid w:val="00EF22CE"/>
    <w:rsid w:val="00EF5275"/>
    <w:rsid w:val="00F1043A"/>
    <w:rsid w:val="00F77E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42"/>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C5A42"/>
    <w:rPr>
      <w:color w:val="0000FF"/>
      <w:u w:val="single"/>
    </w:rPr>
  </w:style>
  <w:style w:type="paragraph" w:customStyle="1" w:styleId="Default">
    <w:name w:val="Default"/>
    <w:uiPriority w:val="99"/>
    <w:rsid w:val="002C5A42"/>
    <w:pPr>
      <w:autoSpaceDE w:val="0"/>
      <w:autoSpaceDN w:val="0"/>
      <w:adjustRightInd w:val="0"/>
    </w:pPr>
    <w:rPr>
      <w:rFonts w:ascii="Sylfaen" w:eastAsia="Times New Roman" w:hAnsi="Sylfaen" w:cs="Sylfaen"/>
      <w:color w:val="000000"/>
      <w:sz w:val="24"/>
      <w:szCs w:val="24"/>
      <w:lang w:val="ru-RU" w:eastAsia="ru-RU"/>
    </w:rPr>
  </w:style>
  <w:style w:type="paragraph" w:styleId="FootnoteText">
    <w:name w:val="footnote text"/>
    <w:basedOn w:val="Normal"/>
    <w:link w:val="FootnoteTextChar"/>
    <w:uiPriority w:val="99"/>
    <w:semiHidden/>
    <w:rsid w:val="002C5A42"/>
    <w:rPr>
      <w:sz w:val="20"/>
      <w:szCs w:val="20"/>
      <w:lang w:val="en-US"/>
    </w:rPr>
  </w:style>
  <w:style w:type="character" w:customStyle="1" w:styleId="FootnoteTextChar">
    <w:name w:val="Footnote Text Char"/>
    <w:basedOn w:val="DefaultParagraphFont"/>
    <w:link w:val="FootnoteText"/>
    <w:uiPriority w:val="99"/>
    <w:locked/>
    <w:rsid w:val="002C5A42"/>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2C5A42"/>
    <w:pPr>
      <w:ind w:firstLine="426"/>
      <w:jc w:val="both"/>
    </w:pPr>
    <w:rPr>
      <w:rFonts w:ascii="AcadNusx" w:hAnsi="AcadNusx" w:cs="AcadNusx"/>
      <w:lang w:val="en-US" w:eastAsia="en-US"/>
    </w:rPr>
  </w:style>
  <w:style w:type="character" w:customStyle="1" w:styleId="BodyTextIndent3Char">
    <w:name w:val="Body Text Indent 3 Char"/>
    <w:basedOn w:val="DefaultParagraphFont"/>
    <w:link w:val="BodyTextIndent3"/>
    <w:uiPriority w:val="99"/>
    <w:locked/>
    <w:rsid w:val="002C5A42"/>
    <w:rPr>
      <w:rFonts w:ascii="AcadNusx" w:hAnsi="AcadNusx" w:cs="AcadNusx"/>
      <w:sz w:val="20"/>
      <w:szCs w:val="20"/>
    </w:rPr>
  </w:style>
  <w:style w:type="character" w:styleId="Emphasis">
    <w:name w:val="Emphasis"/>
    <w:basedOn w:val="DefaultParagraphFont"/>
    <w:uiPriority w:val="99"/>
    <w:qFormat/>
    <w:rsid w:val="002C5A42"/>
    <w:rPr>
      <w:i/>
      <w:iCs/>
    </w:rPr>
  </w:style>
  <w:style w:type="paragraph" w:styleId="ListParagraph">
    <w:name w:val="List Paragraph"/>
    <w:basedOn w:val="Normal"/>
    <w:uiPriority w:val="99"/>
    <w:qFormat/>
    <w:rsid w:val="002C5A42"/>
    <w:pPr>
      <w:ind w:left="720"/>
    </w:pPr>
  </w:style>
  <w:style w:type="paragraph" w:styleId="Footer">
    <w:name w:val="footer"/>
    <w:basedOn w:val="Normal"/>
    <w:link w:val="FooterChar"/>
    <w:uiPriority w:val="99"/>
    <w:semiHidden/>
    <w:rsid w:val="002C5A42"/>
    <w:pPr>
      <w:tabs>
        <w:tab w:val="center" w:pos="4677"/>
        <w:tab w:val="right" w:pos="9355"/>
      </w:tabs>
      <w:jc w:val="both"/>
    </w:pPr>
    <w:rPr>
      <w:rFonts w:ascii="Calibri" w:eastAsia="Calibri" w:hAnsi="Calibri" w:cs="Calibri"/>
      <w:lang w:eastAsia="en-US"/>
    </w:rPr>
  </w:style>
  <w:style w:type="character" w:customStyle="1" w:styleId="FooterChar">
    <w:name w:val="Footer Char"/>
    <w:basedOn w:val="DefaultParagraphFont"/>
    <w:link w:val="Footer"/>
    <w:uiPriority w:val="99"/>
    <w:semiHidden/>
    <w:locked/>
    <w:rsid w:val="002C5A42"/>
    <w:rPr>
      <w:rFonts w:ascii="Calibri" w:hAnsi="Calibri" w:cs="Calibri"/>
      <w:sz w:val="24"/>
      <w:szCs w:val="24"/>
      <w:lang w:val="ru-RU"/>
    </w:rPr>
  </w:style>
  <w:style w:type="character" w:customStyle="1" w:styleId="longtext">
    <w:name w:val="long_text"/>
    <w:basedOn w:val="DefaultParagraphFont"/>
    <w:uiPriority w:val="99"/>
    <w:rsid w:val="00651DAC"/>
  </w:style>
  <w:style w:type="character" w:customStyle="1" w:styleId="hps">
    <w:name w:val="hps"/>
    <w:basedOn w:val="DefaultParagraphFont"/>
    <w:uiPriority w:val="99"/>
    <w:rsid w:val="00651D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3</Pages>
  <Words>678</Words>
  <Characters>3867</Characters>
  <Application>Microsoft Office Outlook</Application>
  <DocSecurity>0</DocSecurity>
  <Lines>0</Lines>
  <Paragraphs>0</Paragraphs>
  <ScaleCrop>false</ScaleCrop>
  <Company>xOrg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xName</dc:creator>
  <cp:keywords/>
  <dc:description/>
  <cp:lastModifiedBy>indira</cp:lastModifiedBy>
  <cp:revision>16</cp:revision>
  <cp:lastPrinted>2011-10-13T07:37:00Z</cp:lastPrinted>
  <dcterms:created xsi:type="dcterms:W3CDTF">2011-10-02T16:27:00Z</dcterms:created>
  <dcterms:modified xsi:type="dcterms:W3CDTF">2011-10-13T07:37:00Z</dcterms:modified>
</cp:coreProperties>
</file>